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97" w:rsidRDefault="00967FCD" w:rsidP="00967FCD">
      <w:pPr>
        <w:jc w:val="center"/>
        <w:rPr>
          <w:rFonts w:ascii="Times New Roman" w:hAnsi="Times New Roman" w:cs="Times New Roman"/>
          <w:sz w:val="32"/>
          <w:lang w:val="en-US"/>
        </w:rPr>
      </w:pPr>
      <w:bookmarkStart w:id="0" w:name="_GoBack"/>
      <w:bookmarkEnd w:id="0"/>
      <w:r w:rsidRPr="00967FCD">
        <w:rPr>
          <w:rFonts w:ascii="Times New Roman" w:hAnsi="Times New Roman" w:cs="Times New Roman"/>
          <w:sz w:val="32"/>
          <w:lang w:val="en-US"/>
        </w:rPr>
        <w:t>Analysis of Electric Vehicle available on the market</w:t>
      </w:r>
    </w:p>
    <w:p w:rsidR="00967FCD" w:rsidRDefault="00967FCD" w:rsidP="00967FCD">
      <w:pPr>
        <w:jc w:val="center"/>
        <w:rPr>
          <w:rFonts w:ascii="Times New Roman" w:hAnsi="Times New Roman" w:cs="Times New Roman"/>
          <w:sz w:val="32"/>
          <w:lang w:val="en-US"/>
        </w:rPr>
      </w:pPr>
      <w:r>
        <w:rPr>
          <w:rFonts w:ascii="Times New Roman" w:hAnsi="Times New Roman" w:cs="Times New Roman"/>
          <w:sz w:val="32"/>
          <w:lang w:val="en-US"/>
        </w:rPr>
        <w:t>Abstract</w:t>
      </w:r>
    </w:p>
    <w:p w:rsidR="00967FCD" w:rsidRPr="0093035D" w:rsidRDefault="00967FCD" w:rsidP="00967FCD">
      <w:pPr>
        <w:pStyle w:val="Default"/>
        <w:jc w:val="both"/>
        <w:rPr>
          <w:rFonts w:ascii="Arial" w:hAnsi="Arial" w:cs="Arial"/>
          <w:b/>
          <w:sz w:val="21"/>
          <w:szCs w:val="21"/>
          <w:lang w:val="en-US"/>
        </w:rPr>
      </w:pPr>
      <w:r w:rsidRPr="0093035D">
        <w:rPr>
          <w:rFonts w:ascii="Arial" w:hAnsi="Arial" w:cs="Arial"/>
          <w:b/>
          <w:sz w:val="21"/>
          <w:szCs w:val="21"/>
          <w:lang w:val="en-US"/>
        </w:rPr>
        <w:t xml:space="preserve">Introduction: </w:t>
      </w:r>
      <w:r w:rsidRPr="0093035D">
        <w:rPr>
          <w:rFonts w:ascii="Arial" w:hAnsi="Arial" w:cs="Arial"/>
          <w:sz w:val="21"/>
          <w:szCs w:val="21"/>
          <w:lang w:val="en-US"/>
        </w:rPr>
        <w:t xml:space="preserve">In recent years, the share of electrified vehicles in the </w:t>
      </w:r>
      <w:r>
        <w:rPr>
          <w:rFonts w:ascii="Arial" w:hAnsi="Arial" w:cs="Arial"/>
          <w:sz w:val="21"/>
          <w:szCs w:val="21"/>
          <w:lang w:val="en-US"/>
        </w:rPr>
        <w:t xml:space="preserve">new car sales has increased </w:t>
      </w:r>
      <w:r w:rsidRPr="0093035D">
        <w:rPr>
          <w:rFonts w:ascii="Arial" w:hAnsi="Arial" w:cs="Arial"/>
          <w:sz w:val="21"/>
          <w:szCs w:val="21"/>
          <w:lang w:val="en-US"/>
        </w:rPr>
        <w:t xml:space="preserve">has been growing significantly. </w:t>
      </w:r>
      <w:r>
        <w:rPr>
          <w:rFonts w:ascii="Arial" w:hAnsi="Arial" w:cs="Arial"/>
          <w:sz w:val="21"/>
          <w:szCs w:val="21"/>
          <w:lang w:val="en-US"/>
        </w:rPr>
        <w:t xml:space="preserve">The main argument for this is that the electric </w:t>
      </w:r>
      <w:proofErr w:type="gramStart"/>
      <w:r>
        <w:rPr>
          <w:rFonts w:ascii="Arial" w:hAnsi="Arial" w:cs="Arial"/>
          <w:sz w:val="21"/>
          <w:szCs w:val="21"/>
          <w:lang w:val="en-US"/>
        </w:rPr>
        <w:t>vehicles has</w:t>
      </w:r>
      <w:proofErr w:type="gramEnd"/>
      <w:r>
        <w:rPr>
          <w:rFonts w:ascii="Arial" w:hAnsi="Arial" w:cs="Arial"/>
          <w:sz w:val="21"/>
          <w:szCs w:val="21"/>
          <w:lang w:val="en-US"/>
        </w:rPr>
        <w:t xml:space="preserve"> higher efficiency from onboard source to the wheels, referred as </w:t>
      </w:r>
      <w:r w:rsidRPr="0093035D">
        <w:rPr>
          <w:rFonts w:ascii="Arial" w:hAnsi="Arial" w:cs="Arial"/>
          <w:sz w:val="21"/>
          <w:szCs w:val="21"/>
          <w:lang w:val="en-US"/>
        </w:rPr>
        <w:t xml:space="preserve">Tank To Wheel </w:t>
      </w:r>
      <w:r>
        <w:rPr>
          <w:rFonts w:ascii="Arial" w:hAnsi="Arial" w:cs="Arial"/>
          <w:sz w:val="21"/>
          <w:szCs w:val="21"/>
          <w:lang w:val="en-US"/>
        </w:rPr>
        <w:t>(TTW</w:t>
      </w:r>
      <w:r w:rsidRPr="0093035D">
        <w:rPr>
          <w:rFonts w:ascii="Arial" w:hAnsi="Arial" w:cs="Arial"/>
          <w:sz w:val="21"/>
          <w:szCs w:val="21"/>
          <w:lang w:val="en-US"/>
        </w:rPr>
        <w:t>)</w:t>
      </w:r>
      <w:r>
        <w:rPr>
          <w:rFonts w:ascii="Arial" w:hAnsi="Arial" w:cs="Arial"/>
          <w:sz w:val="21"/>
          <w:szCs w:val="21"/>
          <w:lang w:val="en-US"/>
        </w:rPr>
        <w:t xml:space="preserve"> efficiency.</w:t>
      </w:r>
      <w:r w:rsidRPr="0093035D">
        <w:rPr>
          <w:rFonts w:ascii="Arial" w:hAnsi="Arial" w:cs="Arial"/>
          <w:sz w:val="21"/>
          <w:szCs w:val="21"/>
          <w:lang w:val="en-US"/>
        </w:rPr>
        <w:t xml:space="preserve"> </w:t>
      </w:r>
      <w:r>
        <w:rPr>
          <w:rFonts w:ascii="Arial" w:hAnsi="Arial" w:cs="Arial"/>
          <w:sz w:val="21"/>
          <w:szCs w:val="21"/>
          <w:lang w:val="en-US"/>
        </w:rPr>
        <w:t xml:space="preserve">However, it is important to </w:t>
      </w:r>
      <w:r w:rsidRPr="0093035D">
        <w:rPr>
          <w:rFonts w:ascii="Arial" w:hAnsi="Arial" w:cs="Arial"/>
          <w:sz w:val="21"/>
          <w:szCs w:val="21"/>
          <w:lang w:val="en-US"/>
        </w:rPr>
        <w:t xml:space="preserve">compare </w:t>
      </w:r>
      <w:r>
        <w:rPr>
          <w:rFonts w:ascii="Arial" w:hAnsi="Arial" w:cs="Arial"/>
          <w:sz w:val="21"/>
          <w:szCs w:val="21"/>
          <w:lang w:val="en-US"/>
        </w:rPr>
        <w:t xml:space="preserve">TTW efficiency for </w:t>
      </w:r>
      <w:r w:rsidRPr="0093035D">
        <w:rPr>
          <w:rFonts w:ascii="Arial" w:hAnsi="Arial" w:cs="Arial"/>
          <w:sz w:val="21"/>
          <w:szCs w:val="21"/>
          <w:lang w:val="en-US"/>
        </w:rPr>
        <w:t>cars running on different types of fuel.</w:t>
      </w:r>
    </w:p>
    <w:p w:rsidR="00967FCD" w:rsidRPr="0093035D" w:rsidRDefault="00967FCD" w:rsidP="00967FCD">
      <w:pPr>
        <w:pStyle w:val="Default"/>
        <w:jc w:val="both"/>
        <w:rPr>
          <w:rFonts w:ascii="Arial" w:hAnsi="Arial" w:cs="Arial"/>
          <w:sz w:val="21"/>
          <w:szCs w:val="21"/>
          <w:lang w:val="en-US"/>
        </w:rPr>
      </w:pPr>
      <w:r w:rsidRPr="0093035D">
        <w:rPr>
          <w:rFonts w:ascii="Arial" w:hAnsi="Arial" w:cs="Arial"/>
          <w:sz w:val="21"/>
          <w:szCs w:val="21"/>
          <w:lang w:val="en-US"/>
        </w:rPr>
        <w:t xml:space="preserve">TTW </w:t>
      </w:r>
      <w:r>
        <w:rPr>
          <w:rFonts w:ascii="Arial" w:hAnsi="Arial" w:cs="Arial"/>
          <w:sz w:val="21"/>
          <w:szCs w:val="21"/>
          <w:lang w:val="en-US"/>
        </w:rPr>
        <w:t>is defined as a ratio energy required at the wheel level to the total energy of fuel used to produce the former. I</w:t>
      </w:r>
      <w:r w:rsidRPr="0093035D">
        <w:rPr>
          <w:rFonts w:ascii="Arial" w:hAnsi="Arial" w:cs="Arial"/>
          <w:sz w:val="21"/>
          <w:szCs w:val="21"/>
          <w:lang w:val="en-US"/>
        </w:rPr>
        <w:t>t depends on the driving</w:t>
      </w:r>
      <w:r>
        <w:rPr>
          <w:rFonts w:ascii="Arial" w:hAnsi="Arial" w:cs="Arial"/>
          <w:sz w:val="21"/>
          <w:szCs w:val="21"/>
          <w:lang w:val="en-US"/>
        </w:rPr>
        <w:t xml:space="preserve"> conditions</w:t>
      </w:r>
      <w:r w:rsidRPr="0093035D">
        <w:rPr>
          <w:rFonts w:ascii="Arial" w:hAnsi="Arial" w:cs="Arial"/>
          <w:sz w:val="21"/>
          <w:szCs w:val="21"/>
          <w:lang w:val="en-US"/>
        </w:rPr>
        <w:t xml:space="preserve">, types of fuel and constructive parameters of the vehicles. Based on the available data, this article provides information on the analysis of the average TTW efficiency of vehicles </w:t>
      </w:r>
      <w:r>
        <w:rPr>
          <w:rFonts w:ascii="Arial" w:hAnsi="Arial" w:cs="Arial"/>
          <w:sz w:val="21"/>
          <w:szCs w:val="21"/>
          <w:lang w:val="en-US"/>
        </w:rPr>
        <w:t xml:space="preserve">running </w:t>
      </w:r>
      <w:r w:rsidRPr="0093035D">
        <w:rPr>
          <w:rFonts w:ascii="Arial" w:hAnsi="Arial" w:cs="Arial"/>
          <w:sz w:val="21"/>
          <w:szCs w:val="21"/>
          <w:lang w:val="en-US"/>
        </w:rPr>
        <w:t>on different fuel types.</w:t>
      </w:r>
    </w:p>
    <w:p w:rsidR="00967FCD" w:rsidRPr="0093035D" w:rsidRDefault="00967FCD" w:rsidP="00967FCD">
      <w:pPr>
        <w:pStyle w:val="Default"/>
        <w:jc w:val="both"/>
        <w:rPr>
          <w:rFonts w:ascii="Arial" w:hAnsi="Arial" w:cs="Arial"/>
          <w:b/>
          <w:sz w:val="21"/>
          <w:szCs w:val="21"/>
          <w:lang w:val="en-US"/>
        </w:rPr>
      </w:pPr>
      <w:r w:rsidRPr="0093035D">
        <w:rPr>
          <w:rFonts w:ascii="Arial" w:hAnsi="Arial" w:cs="Arial"/>
          <w:b/>
          <w:sz w:val="21"/>
          <w:szCs w:val="21"/>
          <w:lang w:val="en-US"/>
        </w:rPr>
        <w:t xml:space="preserve">Methodology: </w:t>
      </w:r>
      <w:r>
        <w:rPr>
          <w:rFonts w:ascii="Arial" w:hAnsi="Arial" w:cs="Arial"/>
          <w:sz w:val="21"/>
          <w:szCs w:val="21"/>
          <w:lang w:val="en-US"/>
        </w:rPr>
        <w:t xml:space="preserve">To find the </w:t>
      </w:r>
      <w:r w:rsidRPr="0093035D">
        <w:rPr>
          <w:rFonts w:ascii="Arial" w:hAnsi="Arial" w:cs="Arial"/>
          <w:sz w:val="21"/>
          <w:szCs w:val="21"/>
          <w:lang w:val="en-US"/>
        </w:rPr>
        <w:t xml:space="preserve">TTW efficiency, </w:t>
      </w:r>
      <w:r>
        <w:rPr>
          <w:rFonts w:ascii="Arial" w:hAnsi="Arial" w:cs="Arial"/>
          <w:sz w:val="21"/>
          <w:szCs w:val="21"/>
          <w:lang w:val="en-US"/>
        </w:rPr>
        <w:t xml:space="preserve">the data in </w:t>
      </w:r>
      <w:r w:rsidRPr="0093035D">
        <w:rPr>
          <w:rFonts w:ascii="Arial" w:hAnsi="Arial" w:cs="Arial"/>
          <w:sz w:val="21"/>
          <w:szCs w:val="21"/>
          <w:lang w:val="en-US"/>
        </w:rPr>
        <w:t>literature</w:t>
      </w:r>
      <w:r>
        <w:rPr>
          <w:rFonts w:ascii="Arial" w:hAnsi="Arial" w:cs="Arial"/>
          <w:sz w:val="21"/>
          <w:szCs w:val="21"/>
          <w:lang w:val="en-US"/>
        </w:rPr>
        <w:t xml:space="preserve"> [1] is used. </w:t>
      </w:r>
      <w:r w:rsidRPr="0093035D">
        <w:rPr>
          <w:rFonts w:ascii="Arial" w:hAnsi="Arial" w:cs="Arial"/>
          <w:sz w:val="21"/>
          <w:szCs w:val="21"/>
          <w:lang w:val="en-US"/>
        </w:rPr>
        <w:t xml:space="preserve">The </w:t>
      </w:r>
      <w:r>
        <w:rPr>
          <w:rFonts w:ascii="Arial" w:hAnsi="Arial" w:cs="Arial"/>
          <w:sz w:val="21"/>
          <w:szCs w:val="21"/>
          <w:lang w:val="en-US"/>
        </w:rPr>
        <w:t xml:space="preserve">data consists of the </w:t>
      </w:r>
      <w:r w:rsidRPr="0093035D">
        <w:rPr>
          <w:rFonts w:ascii="Arial" w:hAnsi="Arial" w:cs="Arial"/>
          <w:sz w:val="21"/>
          <w:szCs w:val="21"/>
          <w:lang w:val="en-US"/>
        </w:rPr>
        <w:t xml:space="preserve">energy consumption per 100 km for the NEDC cycle </w:t>
      </w:r>
      <w:r>
        <w:rPr>
          <w:rFonts w:ascii="Arial" w:hAnsi="Arial" w:cs="Arial"/>
          <w:sz w:val="21"/>
          <w:szCs w:val="21"/>
          <w:lang w:val="en-US"/>
        </w:rPr>
        <w:t xml:space="preserve">for </w:t>
      </w:r>
      <w:r w:rsidRPr="0093035D">
        <w:rPr>
          <w:rFonts w:ascii="Arial" w:hAnsi="Arial" w:cs="Arial"/>
          <w:sz w:val="21"/>
          <w:szCs w:val="21"/>
          <w:lang w:val="en-US"/>
        </w:rPr>
        <w:t xml:space="preserve">vehicles driving on different </w:t>
      </w:r>
      <w:r>
        <w:rPr>
          <w:rFonts w:ascii="Arial" w:hAnsi="Arial" w:cs="Arial"/>
          <w:sz w:val="21"/>
          <w:szCs w:val="21"/>
          <w:lang w:val="en-US"/>
        </w:rPr>
        <w:t>fuel types. To have proper comparison for different fuel vehicles, the consumption levels should be converted to kW</w:t>
      </w:r>
      <w:r w:rsidRPr="0093035D">
        <w:rPr>
          <w:rFonts w:ascii="Arial" w:hAnsi="Arial" w:cs="Arial"/>
          <w:sz w:val="21"/>
          <w:szCs w:val="21"/>
          <w:lang w:val="en-US"/>
        </w:rPr>
        <w:t xml:space="preserve">h [2]. This </w:t>
      </w:r>
      <w:r>
        <w:rPr>
          <w:rFonts w:ascii="Arial" w:hAnsi="Arial" w:cs="Arial"/>
          <w:sz w:val="21"/>
          <w:szCs w:val="21"/>
          <w:lang w:val="en-US"/>
        </w:rPr>
        <w:t>can be performed using the energy content of the fuels (Petrol – 8.88 kWh/liter, Diesel – 10 kWh/liter,</w:t>
      </w:r>
      <w:r w:rsidRPr="00DE518C">
        <w:rPr>
          <w:rFonts w:ascii="Arial" w:hAnsi="Arial" w:cs="Arial"/>
          <w:sz w:val="21"/>
          <w:szCs w:val="21"/>
          <w:lang w:val="en-US"/>
        </w:rPr>
        <w:t xml:space="preserve"> </w:t>
      </w:r>
      <w:r>
        <w:rPr>
          <w:rFonts w:ascii="Arial" w:hAnsi="Arial" w:cs="Arial"/>
          <w:sz w:val="21"/>
          <w:szCs w:val="21"/>
          <w:lang w:val="en-US"/>
        </w:rPr>
        <w:t xml:space="preserve">Natural gas – 12.3 kWh/kg,). The result of the conversion is </w:t>
      </w:r>
      <w:r w:rsidRPr="0093035D">
        <w:rPr>
          <w:rFonts w:ascii="Arial" w:hAnsi="Arial" w:cs="Arial"/>
          <w:sz w:val="21"/>
          <w:szCs w:val="21"/>
          <w:lang w:val="en-US"/>
        </w:rPr>
        <w:t xml:space="preserve">shown in </w:t>
      </w:r>
      <w:r>
        <w:rPr>
          <w:rFonts w:ascii="Arial" w:hAnsi="Arial" w:cs="Arial"/>
          <w:sz w:val="21"/>
          <w:szCs w:val="21"/>
          <w:lang w:val="en-US"/>
        </w:rPr>
        <w:t>Fig.1</w:t>
      </w:r>
      <w:r w:rsidRPr="0093035D">
        <w:rPr>
          <w:rFonts w:ascii="Arial" w:hAnsi="Arial" w:cs="Arial"/>
          <w:sz w:val="21"/>
          <w:szCs w:val="21"/>
          <w:lang w:val="en-US"/>
        </w:rPr>
        <w:t xml:space="preserve">. </w:t>
      </w:r>
    </w:p>
    <w:p w:rsidR="00967FCD" w:rsidRDefault="00967FCD" w:rsidP="00967FCD">
      <w:pPr>
        <w:pStyle w:val="Default"/>
        <w:jc w:val="both"/>
        <w:rPr>
          <w:rFonts w:ascii="Arial" w:hAnsi="Arial" w:cs="Arial"/>
          <w:sz w:val="21"/>
          <w:szCs w:val="21"/>
          <w:lang w:val="en-US"/>
        </w:rPr>
      </w:pPr>
      <w:r>
        <w:rPr>
          <w:rFonts w:ascii="Arial" w:hAnsi="Arial" w:cs="Arial"/>
          <w:sz w:val="21"/>
          <w:szCs w:val="21"/>
          <w:lang w:val="en-US"/>
        </w:rPr>
        <w:t xml:space="preserve">The energy needed to run the vehicle on </w:t>
      </w:r>
      <w:r w:rsidRPr="0093035D">
        <w:rPr>
          <w:rFonts w:ascii="Arial" w:hAnsi="Arial" w:cs="Arial"/>
          <w:sz w:val="21"/>
          <w:szCs w:val="21"/>
          <w:lang w:val="en-US"/>
        </w:rPr>
        <w:t>NEDC driving cycle</w:t>
      </w:r>
      <w:r>
        <w:rPr>
          <w:rFonts w:ascii="Arial" w:hAnsi="Arial" w:cs="Arial"/>
          <w:sz w:val="21"/>
          <w:szCs w:val="21"/>
          <w:lang w:val="en-US"/>
        </w:rPr>
        <w:t xml:space="preserve"> was computed using the total resisting forces (</w:t>
      </w:r>
      <w:r w:rsidRPr="0093035D">
        <w:rPr>
          <w:rFonts w:ascii="Arial" w:hAnsi="Arial" w:cs="Arial"/>
          <w:sz w:val="21"/>
          <w:szCs w:val="21"/>
          <w:lang w:val="en-US"/>
        </w:rPr>
        <w:t>aerodynamic, rolling and inertia</w:t>
      </w:r>
      <w:r>
        <w:rPr>
          <w:rFonts w:ascii="Arial" w:hAnsi="Arial" w:cs="Arial"/>
          <w:sz w:val="21"/>
          <w:szCs w:val="21"/>
          <w:lang w:val="en-US"/>
        </w:rPr>
        <w:t>) and shown in the E</w:t>
      </w:r>
      <w:r w:rsidRPr="0093035D">
        <w:rPr>
          <w:rFonts w:ascii="Arial" w:hAnsi="Arial" w:cs="Arial"/>
          <w:sz w:val="21"/>
          <w:szCs w:val="21"/>
          <w:lang w:val="en-US"/>
        </w:rPr>
        <w:t>q</w:t>
      </w:r>
      <w:r>
        <w:rPr>
          <w:rFonts w:ascii="Arial" w:hAnsi="Arial" w:cs="Arial"/>
          <w:sz w:val="21"/>
          <w:szCs w:val="21"/>
          <w:lang w:val="en-US"/>
        </w:rPr>
        <w:t xml:space="preserve">. 1 [3-5]. </w:t>
      </w:r>
    </w:p>
    <w:p w:rsidR="00967FCD" w:rsidRDefault="00967FCD" w:rsidP="00967FCD">
      <w:pPr>
        <w:pStyle w:val="Default"/>
        <w:jc w:val="both"/>
        <w:rPr>
          <w:rFonts w:ascii="Arial" w:hAnsi="Arial" w:cs="Arial"/>
          <w:sz w:val="21"/>
          <w:szCs w:val="21"/>
          <w:lang w:val="en-US"/>
        </w:rPr>
      </w:pPr>
      <w:r>
        <w:rPr>
          <w:rFonts w:ascii="Arial" w:hAnsi="Arial" w:cs="Arial"/>
          <w:sz w:val="21"/>
          <w:szCs w:val="21"/>
          <w:lang w:val="en-US"/>
        </w:rPr>
        <w:t xml:space="preserve">The average energy consumptions for each fuel type were also computed using the Eq. 2 and 3. The </w:t>
      </w:r>
      <w:r>
        <w:rPr>
          <w:rFonts w:ascii="Arial" w:eastAsiaTheme="minorEastAsia" w:hAnsi="Arial" w:cs="Arial"/>
          <w:sz w:val="21"/>
          <w:szCs w:val="21"/>
          <w:shd w:val="clear" w:color="auto" w:fill="FFFFFF"/>
          <w:lang w:val="en-US"/>
        </w:rPr>
        <w:t>constant</w:t>
      </w:r>
      <w:r>
        <w:rPr>
          <w:rFonts w:ascii="Arial" w:hAnsi="Arial" w:cs="Arial"/>
          <w:sz w:val="21"/>
          <w:szCs w:val="21"/>
          <w:lang w:val="en-US"/>
        </w:rPr>
        <w:t xml:space="preserve"> values of </w:t>
      </w:r>
      <m:oMath>
        <m:sSub>
          <m:sSubPr>
            <m:ctrlPr>
              <w:rPr>
                <w:rFonts w:ascii="Cambria Math" w:eastAsiaTheme="minorEastAsia" w:hAnsi="Cambria Math" w:cs="Arial"/>
                <w:sz w:val="21"/>
                <w:szCs w:val="21"/>
                <w:shd w:val="clear" w:color="auto" w:fill="FFFFFF"/>
                <w:lang w:val="en-US"/>
              </w:rPr>
            </m:ctrlPr>
          </m:sSubPr>
          <m:e>
            <m:r>
              <m:rPr>
                <m:sty m:val="p"/>
              </m:rPr>
              <w:rPr>
                <w:rFonts w:ascii="Cambria Math" w:eastAsiaTheme="minorEastAsia" w:hAnsi="Cambria Math" w:cs="Arial"/>
                <w:sz w:val="21"/>
                <w:szCs w:val="21"/>
                <w:shd w:val="clear" w:color="auto" w:fill="FFFFFF"/>
                <w:lang w:val="en-US"/>
              </w:rPr>
              <m:t>C</m:t>
            </m:r>
          </m:e>
          <m:sub>
            <m:r>
              <m:rPr>
                <m:sty m:val="p"/>
              </m:rPr>
              <w:rPr>
                <w:rFonts w:ascii="Cambria Math" w:eastAsiaTheme="minorEastAsia" w:hAnsi="Cambria Math" w:cs="Arial"/>
                <w:sz w:val="21"/>
                <w:szCs w:val="21"/>
                <w:shd w:val="clear" w:color="auto" w:fill="FFFFFF"/>
                <w:vertAlign w:val="subscript"/>
                <w:lang w:val="en-US"/>
              </w:rPr>
              <m:t>x</m:t>
            </m:r>
          </m:sub>
        </m:sSub>
      </m:oMath>
      <w:r>
        <w:rPr>
          <w:rFonts w:ascii="Arial" w:eastAsiaTheme="minorEastAsia" w:hAnsi="Arial" w:cs="Arial"/>
          <w:sz w:val="21"/>
          <w:szCs w:val="21"/>
          <w:shd w:val="clear" w:color="auto" w:fill="FFFFFF"/>
          <w:lang w:val="en-US"/>
        </w:rPr>
        <w:t xml:space="preserve">, </w:t>
      </w:r>
      <m:oMath>
        <m:sSub>
          <m:sSubPr>
            <m:ctrlPr>
              <w:rPr>
                <w:rFonts w:ascii="Cambria Math" w:eastAsiaTheme="minorEastAsia" w:hAnsi="Cambria Math" w:cs="Arial"/>
                <w:sz w:val="21"/>
                <w:szCs w:val="21"/>
                <w:shd w:val="clear" w:color="auto" w:fill="FFFFFF"/>
                <w:lang w:val="en-US"/>
              </w:rPr>
            </m:ctrlPr>
          </m:sSubPr>
          <m:e>
            <m:r>
              <m:rPr>
                <m:sty m:val="p"/>
              </m:rPr>
              <w:rPr>
                <w:rFonts w:ascii="Cambria Math" w:eastAsiaTheme="minorEastAsia" w:hAnsi="Cambria Math" w:cs="Arial"/>
                <w:sz w:val="21"/>
                <w:szCs w:val="21"/>
                <w:shd w:val="clear" w:color="auto" w:fill="FFFFFF"/>
                <w:lang w:val="en-US"/>
              </w:rPr>
              <m:t>A</m:t>
            </m:r>
          </m:e>
          <m:sub>
            <m:r>
              <m:rPr>
                <m:sty m:val="p"/>
              </m:rPr>
              <w:rPr>
                <w:rFonts w:ascii="Cambria Math" w:eastAsiaTheme="minorEastAsia" w:hAnsi="Cambria Math" w:cs="Arial"/>
                <w:sz w:val="21"/>
                <w:szCs w:val="21"/>
                <w:shd w:val="clear" w:color="auto" w:fill="FFFFFF"/>
                <w:vertAlign w:val="subscript"/>
                <w:lang w:val="en-US"/>
              </w:rPr>
              <m:t>f</m:t>
            </m:r>
          </m:sub>
        </m:sSub>
      </m:oMath>
      <w:r>
        <w:rPr>
          <w:rFonts w:ascii="Arial" w:eastAsiaTheme="minorEastAsia" w:hAnsi="Arial" w:cs="Arial"/>
          <w:sz w:val="21"/>
          <w:szCs w:val="21"/>
          <w:shd w:val="clear" w:color="auto" w:fill="FFFFFF"/>
          <w:lang w:val="en-US"/>
        </w:rPr>
        <w:t xml:space="preserve"> and </w:t>
      </w:r>
      <m:oMath>
        <m:sSub>
          <m:sSubPr>
            <m:ctrlPr>
              <w:rPr>
                <w:rFonts w:ascii="Cambria Math" w:eastAsiaTheme="minorEastAsia" w:hAnsi="Cambria Math" w:cs="Arial"/>
                <w:i/>
                <w:sz w:val="21"/>
                <w:szCs w:val="21"/>
                <w:shd w:val="clear" w:color="auto" w:fill="FFFFFF"/>
                <w:lang w:val="en-US"/>
              </w:rPr>
            </m:ctrlPr>
          </m:sSubPr>
          <m:e>
            <m:r>
              <w:rPr>
                <w:rFonts w:ascii="Cambria Math" w:eastAsiaTheme="minorEastAsia" w:hAnsi="Cambria Math" w:cs="Arial"/>
                <w:sz w:val="21"/>
                <w:szCs w:val="21"/>
                <w:shd w:val="clear" w:color="auto" w:fill="FFFFFF"/>
                <w:lang w:val="en-US"/>
              </w:rPr>
              <m:t>f</m:t>
            </m:r>
          </m:e>
          <m:sub>
            <m:r>
              <w:rPr>
                <w:rFonts w:ascii="Cambria Math" w:eastAsiaTheme="minorEastAsia" w:hAnsi="Cambria Math" w:cs="Arial"/>
                <w:sz w:val="21"/>
                <w:szCs w:val="21"/>
                <w:shd w:val="clear" w:color="auto" w:fill="FFFFFF"/>
                <w:lang w:val="en-US"/>
              </w:rPr>
              <m:t>r</m:t>
            </m:r>
          </m:sub>
        </m:sSub>
      </m:oMath>
      <w:r>
        <w:rPr>
          <w:rFonts w:ascii="Arial" w:eastAsiaTheme="minorEastAsia" w:hAnsi="Arial" w:cs="Arial"/>
          <w:sz w:val="21"/>
          <w:szCs w:val="21"/>
          <w:shd w:val="clear" w:color="auto" w:fill="FFFFFF"/>
          <w:lang w:val="en-US"/>
        </w:rPr>
        <w:t>.are considered regardless the vehicle mass and the fuel type.</w:t>
      </w:r>
    </w:p>
    <w:p w:rsidR="00967FCD" w:rsidRPr="0093035D" w:rsidRDefault="00967FCD" w:rsidP="00967FCD">
      <w:pPr>
        <w:pStyle w:val="Default"/>
        <w:jc w:val="both"/>
        <w:rPr>
          <w:rFonts w:ascii="Arial" w:hAnsi="Arial" w:cs="Arial"/>
          <w:sz w:val="21"/>
          <w:szCs w:val="21"/>
          <w:lang w:val="en-US"/>
        </w:rPr>
      </w:pPr>
    </w:p>
    <w:p w:rsidR="00967FCD" w:rsidRPr="0093035D" w:rsidRDefault="00967FCD" w:rsidP="00967FCD">
      <w:pPr>
        <w:pStyle w:val="Default"/>
        <w:jc w:val="center"/>
        <w:rPr>
          <w:rFonts w:ascii="Arial" w:hAnsi="Arial" w:cs="Arial"/>
          <w:sz w:val="21"/>
          <w:szCs w:val="21"/>
          <w:lang w:val="en-US"/>
        </w:rPr>
      </w:pPr>
      <w:r w:rsidRPr="0093035D">
        <w:rPr>
          <w:noProof/>
          <w:lang w:val="en-US"/>
        </w:rPr>
        <w:drawing>
          <wp:inline distT="0" distB="0" distL="0" distR="0" wp14:anchorId="2996C81A" wp14:editId="18875EAC">
            <wp:extent cx="4133850" cy="250622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0795" cy="2516501"/>
                    </a:xfrm>
                    <a:prstGeom prst="rect">
                      <a:avLst/>
                    </a:prstGeom>
                  </pic:spPr>
                </pic:pic>
              </a:graphicData>
            </a:graphic>
          </wp:inline>
        </w:drawing>
      </w:r>
    </w:p>
    <w:p w:rsidR="00967FCD" w:rsidRPr="001E147D" w:rsidRDefault="00967FCD" w:rsidP="00967FCD">
      <w:pPr>
        <w:jc w:val="center"/>
        <w:rPr>
          <w:rFonts w:ascii="Arial" w:hAnsi="Arial" w:cs="Arial"/>
          <w:color w:val="000000"/>
          <w:sz w:val="21"/>
          <w:szCs w:val="21"/>
          <w:lang w:val="en-US"/>
        </w:rPr>
      </w:pPr>
      <w:r w:rsidRPr="001E147D">
        <w:rPr>
          <w:rFonts w:ascii="Arial" w:hAnsi="Arial" w:cs="Arial"/>
          <w:b/>
          <w:color w:val="000000"/>
          <w:sz w:val="21"/>
          <w:szCs w:val="21"/>
          <w:lang w:val="en-US"/>
        </w:rPr>
        <w:t>Fig.1:</w:t>
      </w:r>
      <w:r w:rsidRPr="001E147D">
        <w:rPr>
          <w:rFonts w:ascii="Arial" w:hAnsi="Arial" w:cs="Arial"/>
          <w:color w:val="000000"/>
          <w:sz w:val="21"/>
          <w:szCs w:val="21"/>
          <w:lang w:val="en-US"/>
        </w:rPr>
        <w:t xml:space="preserve"> Energy consumption of the vehicles for 100km driving in the different fuel type</w:t>
      </w:r>
    </w:p>
    <w:p w:rsidR="00967FCD" w:rsidRPr="0093035D" w:rsidRDefault="005C4DA1" w:rsidP="00967FCD">
      <w:pPr>
        <w:pStyle w:val="Default"/>
        <w:ind w:left="1701"/>
        <w:rPr>
          <w:rFonts w:ascii="Arial" w:eastAsiaTheme="minorEastAsia" w:hAnsi="Arial" w:cs="Arial"/>
          <w:sz w:val="21"/>
          <w:szCs w:val="21"/>
          <w:shd w:val="clear" w:color="auto" w:fill="FFFFFF"/>
          <w:lang w:val="en-US"/>
        </w:rPr>
      </w:pPr>
      <m:oMath>
        <m:sSub>
          <m:sSubPr>
            <m:ctrlPr>
              <w:rPr>
                <w:rFonts w:ascii="Cambria Math" w:eastAsiaTheme="minorEastAsia" w:hAnsi="Cambria Math" w:cs="Arial"/>
                <w:i/>
                <w:sz w:val="21"/>
                <w:szCs w:val="21"/>
                <w:shd w:val="clear" w:color="auto" w:fill="FFFFFF"/>
                <w:lang w:val="en-US"/>
              </w:rPr>
            </m:ctrlPr>
          </m:sSubPr>
          <m:e>
            <m:r>
              <w:rPr>
                <w:rFonts w:ascii="Cambria Math" w:eastAsiaTheme="minorEastAsia" w:hAnsi="Cambria Math" w:cs="Arial"/>
                <w:sz w:val="21"/>
                <w:szCs w:val="21"/>
                <w:shd w:val="clear" w:color="auto" w:fill="FFFFFF"/>
                <w:lang w:val="en-US"/>
              </w:rPr>
              <m:t>R</m:t>
            </m:r>
          </m:e>
          <m:sub>
            <m:r>
              <w:rPr>
                <w:rFonts w:ascii="Cambria Math" w:eastAsiaTheme="minorEastAsia" w:hAnsi="Cambria Math" w:cs="Arial"/>
                <w:sz w:val="21"/>
                <w:szCs w:val="21"/>
                <w:shd w:val="clear" w:color="auto" w:fill="FFFFFF"/>
                <w:lang w:val="en-US"/>
              </w:rPr>
              <m:t>tot</m:t>
            </m:r>
          </m:sub>
        </m:sSub>
        <m:r>
          <w:rPr>
            <w:rFonts w:ascii="Cambria Math" w:eastAsiaTheme="minorEastAsia" w:hAnsi="Cambria Math" w:cs="Arial"/>
            <w:sz w:val="21"/>
            <w:szCs w:val="21"/>
            <w:shd w:val="clear" w:color="auto" w:fill="FFFFFF"/>
            <w:lang w:val="en-US"/>
          </w:rPr>
          <m:t>=</m:t>
        </m:r>
        <m:sSub>
          <m:sSubPr>
            <m:ctrlPr>
              <w:rPr>
                <w:rFonts w:ascii="Cambria Math" w:eastAsiaTheme="minorEastAsia" w:hAnsi="Cambria Math" w:cs="Arial"/>
                <w:i/>
                <w:sz w:val="21"/>
                <w:szCs w:val="21"/>
                <w:shd w:val="clear" w:color="auto" w:fill="FFFFFF"/>
                <w:lang w:val="en-US"/>
              </w:rPr>
            </m:ctrlPr>
          </m:sSubPr>
          <m:e>
            <m:r>
              <w:rPr>
                <w:rFonts w:ascii="Cambria Math" w:eastAsiaTheme="minorEastAsia" w:hAnsi="Cambria Math" w:cs="Arial"/>
                <w:sz w:val="21"/>
                <w:szCs w:val="21"/>
                <w:shd w:val="clear" w:color="auto" w:fill="FFFFFF"/>
                <w:lang w:val="en-US"/>
              </w:rPr>
              <m:t>f</m:t>
            </m:r>
          </m:e>
          <m:sub>
            <m:r>
              <w:rPr>
                <w:rFonts w:ascii="Cambria Math" w:eastAsiaTheme="minorEastAsia" w:hAnsi="Cambria Math" w:cs="Arial"/>
                <w:sz w:val="21"/>
                <w:szCs w:val="21"/>
                <w:shd w:val="clear" w:color="auto" w:fill="FFFFFF"/>
                <w:lang w:val="en-US"/>
              </w:rPr>
              <m:t>r</m:t>
            </m:r>
          </m:sub>
        </m:sSub>
        <m:r>
          <m:rPr>
            <m:sty m:val="p"/>
          </m:rPr>
          <w:rPr>
            <w:rFonts w:ascii="Cambria Math" w:hAnsi="Cambria Math" w:cs="Arial"/>
            <w:sz w:val="21"/>
            <w:szCs w:val="21"/>
            <w:shd w:val="clear" w:color="auto" w:fill="FFFFFF"/>
            <w:lang w:val="en-US"/>
          </w:rPr>
          <m:t>⋅</m:t>
        </m:r>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m</m:t>
            </m:r>
          </m:e>
          <m:sub>
            <m:r>
              <m:rPr>
                <m:sty m:val="p"/>
              </m:rPr>
              <w:rPr>
                <w:rFonts w:ascii="Cambria Math" w:hAnsi="Cambria Math" w:cs="Arial"/>
                <w:sz w:val="21"/>
                <w:szCs w:val="21"/>
                <w:shd w:val="clear" w:color="auto" w:fill="FFFFFF"/>
                <w:lang w:val="en-US"/>
              </w:rPr>
              <m:t>i</m:t>
            </m:r>
          </m:sub>
        </m:sSub>
        <m:r>
          <w:rPr>
            <w:rFonts w:ascii="Cambria Math" w:hAnsi="Cambria Math" w:cs="Arial"/>
            <w:sz w:val="21"/>
            <w:szCs w:val="21"/>
            <w:shd w:val="clear" w:color="auto" w:fill="FFFFFF"/>
            <w:lang w:val="en-US"/>
          </w:rPr>
          <m:t>⋅g+</m:t>
        </m:r>
        <m:f>
          <m:fPr>
            <m:ctrlPr>
              <w:rPr>
                <w:rFonts w:ascii="Cambria Math" w:eastAsiaTheme="minorEastAsia" w:hAnsi="Cambria Math" w:cs="Arial"/>
                <w:sz w:val="21"/>
                <w:szCs w:val="21"/>
                <w:shd w:val="clear" w:color="auto" w:fill="FFFFFF"/>
                <w:lang w:val="en-US"/>
              </w:rPr>
            </m:ctrlPr>
          </m:fPr>
          <m:num>
            <m:r>
              <m:rPr>
                <m:sty m:val="p"/>
              </m:rPr>
              <w:rPr>
                <w:rFonts w:ascii="Cambria Math" w:eastAsiaTheme="minorEastAsia" w:hAnsi="Cambria Math" w:cs="Arial"/>
                <w:sz w:val="21"/>
                <w:szCs w:val="21"/>
                <w:shd w:val="clear" w:color="auto" w:fill="FFFFFF"/>
                <w:lang w:val="en-US"/>
              </w:rPr>
              <m:t>1</m:t>
            </m:r>
            <m:ctrlPr>
              <w:rPr>
                <w:rFonts w:ascii="Cambria Math" w:eastAsiaTheme="minorEastAsia" w:hAnsi="Cambria Math" w:cs="Arial"/>
                <w:i/>
                <w:sz w:val="21"/>
                <w:szCs w:val="21"/>
                <w:shd w:val="clear" w:color="auto" w:fill="FFFFFF"/>
                <w:lang w:val="en-US"/>
              </w:rPr>
            </m:ctrlPr>
          </m:num>
          <m:den>
            <m:r>
              <w:rPr>
                <w:rFonts w:ascii="Cambria Math" w:eastAsiaTheme="minorEastAsia" w:hAnsi="Cambria Math" w:cs="Arial"/>
                <w:sz w:val="21"/>
                <w:szCs w:val="21"/>
                <w:shd w:val="clear" w:color="auto" w:fill="FFFFFF"/>
                <w:lang w:val="en-US"/>
              </w:rPr>
              <m:t>2</m:t>
            </m:r>
          </m:den>
        </m:f>
        <m:r>
          <w:rPr>
            <w:rFonts w:ascii="Cambria Math" w:hAnsi="Cambria Math" w:cs="Arial"/>
            <w:sz w:val="21"/>
            <w:szCs w:val="21"/>
            <w:shd w:val="clear" w:color="auto" w:fill="FFFFFF"/>
            <w:lang w:val="en-US"/>
          </w:rPr>
          <m:t>⋅</m:t>
        </m:r>
        <m:r>
          <m:rPr>
            <m:sty m:val="p"/>
          </m:rPr>
          <w:rPr>
            <w:rFonts w:ascii="Cambria Math" w:eastAsiaTheme="minorEastAsia" w:hAnsi="Cambria Math" w:cs="Arial"/>
            <w:sz w:val="21"/>
            <w:szCs w:val="21"/>
            <w:shd w:val="clear" w:color="auto" w:fill="FFFFFF"/>
            <w:lang w:val="en-US"/>
          </w:rPr>
          <w:sym w:font="Symbol" w:char="F072"/>
        </m:r>
        <m:sSup>
          <m:sSupPr>
            <m:ctrlPr>
              <w:rPr>
                <w:rFonts w:ascii="Cambria Math" w:eastAsiaTheme="minorEastAsia" w:hAnsi="Cambria Math" w:cs="Arial"/>
                <w:sz w:val="21"/>
                <w:szCs w:val="21"/>
                <w:shd w:val="clear" w:color="auto" w:fill="FFFFFF"/>
                <w:lang w:val="en-US"/>
              </w:rPr>
            </m:ctrlPr>
          </m:sSupPr>
          <m:e>
            <m:r>
              <w:rPr>
                <w:rFonts w:ascii="Cambria Math" w:hAnsi="Cambria Math" w:cs="Arial"/>
                <w:sz w:val="21"/>
                <w:szCs w:val="21"/>
                <w:shd w:val="clear" w:color="auto" w:fill="FFFFFF"/>
                <w:lang w:val="en-US"/>
              </w:rPr>
              <m:t>⋅</m:t>
            </m:r>
            <m:r>
              <w:rPr>
                <w:rFonts w:ascii="Cambria Math" w:eastAsiaTheme="minorEastAsia" w:hAnsi="Cambria Math" w:cs="Arial"/>
                <w:sz w:val="21"/>
                <w:szCs w:val="21"/>
                <w:shd w:val="clear" w:color="auto" w:fill="FFFFFF"/>
                <w:lang w:val="en-US"/>
              </w:rPr>
              <m:t>v</m:t>
            </m:r>
          </m:e>
          <m:sup>
            <m:r>
              <w:rPr>
                <w:rFonts w:ascii="Cambria Math" w:eastAsiaTheme="minorEastAsia" w:hAnsi="Cambria Math" w:cs="Arial"/>
                <w:sz w:val="21"/>
                <w:szCs w:val="21"/>
                <w:shd w:val="clear" w:color="auto" w:fill="FFFFFF"/>
                <w:lang w:val="en-US"/>
              </w:rPr>
              <m:t>2</m:t>
            </m:r>
          </m:sup>
        </m:sSup>
        <m:r>
          <w:rPr>
            <w:rFonts w:ascii="Cambria Math" w:hAnsi="Cambria Math" w:cs="Arial"/>
            <w:sz w:val="21"/>
            <w:szCs w:val="21"/>
            <w:shd w:val="clear" w:color="auto" w:fill="FFFFFF"/>
            <w:lang w:val="en-US"/>
          </w:rPr>
          <m:t>⋅</m:t>
        </m:r>
        <m:r>
          <m:rPr>
            <m:sty m:val="p"/>
          </m:rPr>
          <w:rPr>
            <w:rFonts w:ascii="Cambria Math" w:eastAsiaTheme="minorEastAsia" w:hAnsi="Cambria Math" w:cs="Arial"/>
            <w:sz w:val="21"/>
            <w:szCs w:val="21"/>
            <w:shd w:val="clear" w:color="auto" w:fill="FFFFFF"/>
            <w:lang w:val="en-US"/>
          </w:rPr>
          <m:t xml:space="preserve"> </m:t>
        </m:r>
        <m:sSub>
          <m:sSubPr>
            <m:ctrlPr>
              <w:rPr>
                <w:rFonts w:ascii="Cambria Math" w:eastAsiaTheme="minorEastAsia" w:hAnsi="Cambria Math" w:cs="Arial"/>
                <w:sz w:val="21"/>
                <w:szCs w:val="21"/>
                <w:shd w:val="clear" w:color="auto" w:fill="FFFFFF"/>
                <w:vertAlign w:val="subscript"/>
                <w:lang w:val="en-US"/>
              </w:rPr>
            </m:ctrlPr>
          </m:sSubPr>
          <m:e>
            <m:r>
              <m:rPr>
                <m:sty m:val="p"/>
              </m:rPr>
              <w:rPr>
                <w:rFonts w:ascii="Cambria Math" w:eastAsiaTheme="minorEastAsia" w:hAnsi="Cambria Math" w:cs="Arial"/>
                <w:sz w:val="21"/>
                <w:szCs w:val="21"/>
                <w:shd w:val="clear" w:color="auto" w:fill="FFFFFF"/>
                <w:lang w:val="en-US"/>
              </w:rPr>
              <m:t>C</m:t>
            </m:r>
            <m:ctrlPr>
              <w:rPr>
                <w:rFonts w:ascii="Cambria Math" w:eastAsiaTheme="minorEastAsia" w:hAnsi="Cambria Math" w:cs="Arial"/>
                <w:sz w:val="21"/>
                <w:szCs w:val="21"/>
                <w:shd w:val="clear" w:color="auto" w:fill="FFFFFF"/>
                <w:lang w:val="en-US"/>
              </w:rPr>
            </m:ctrlPr>
          </m:e>
          <m:sub>
            <m:r>
              <m:rPr>
                <m:sty m:val="p"/>
              </m:rPr>
              <w:rPr>
                <w:rFonts w:ascii="Cambria Math" w:eastAsiaTheme="minorEastAsia" w:hAnsi="Cambria Math" w:cs="Arial"/>
                <w:sz w:val="21"/>
                <w:szCs w:val="21"/>
                <w:shd w:val="clear" w:color="auto" w:fill="FFFFFF"/>
                <w:vertAlign w:val="subscript"/>
                <w:lang w:val="en-US"/>
              </w:rPr>
              <m:t>x</m:t>
            </m:r>
          </m:sub>
        </m:sSub>
        <m:r>
          <w:rPr>
            <w:rFonts w:ascii="Cambria Math" w:hAnsi="Cambria Math" w:cs="Arial"/>
            <w:sz w:val="21"/>
            <w:szCs w:val="21"/>
            <w:shd w:val="clear" w:color="auto" w:fill="FFFFFF"/>
            <w:lang w:val="en-US"/>
          </w:rPr>
          <m:t>⋅</m:t>
        </m:r>
        <m:r>
          <m:rPr>
            <m:sty m:val="p"/>
          </m:rPr>
          <w:rPr>
            <w:rFonts w:ascii="Cambria Math" w:eastAsiaTheme="minorEastAsia" w:hAnsi="Cambria Math" w:cs="Arial"/>
            <w:sz w:val="21"/>
            <w:szCs w:val="21"/>
            <w:shd w:val="clear" w:color="auto" w:fill="FFFFFF"/>
            <w:lang w:val="en-US"/>
          </w:rPr>
          <m:t xml:space="preserve"> </m:t>
        </m:r>
        <m:sSub>
          <m:sSubPr>
            <m:ctrlPr>
              <w:rPr>
                <w:rFonts w:ascii="Cambria Math" w:eastAsiaTheme="minorEastAsia" w:hAnsi="Cambria Math" w:cs="Arial"/>
                <w:sz w:val="21"/>
                <w:szCs w:val="21"/>
                <w:shd w:val="clear" w:color="auto" w:fill="FFFFFF"/>
                <w:vertAlign w:val="subscript"/>
                <w:lang w:val="en-US"/>
              </w:rPr>
            </m:ctrlPr>
          </m:sSubPr>
          <m:e>
            <m:r>
              <m:rPr>
                <m:sty m:val="p"/>
              </m:rPr>
              <w:rPr>
                <w:rFonts w:ascii="Cambria Math" w:eastAsiaTheme="minorEastAsia" w:hAnsi="Cambria Math" w:cs="Arial"/>
                <w:sz w:val="21"/>
                <w:szCs w:val="21"/>
                <w:shd w:val="clear" w:color="auto" w:fill="FFFFFF"/>
                <w:lang w:val="en-US"/>
              </w:rPr>
              <m:t>A</m:t>
            </m:r>
            <m:ctrlPr>
              <w:rPr>
                <w:rFonts w:ascii="Cambria Math" w:eastAsiaTheme="minorEastAsia" w:hAnsi="Cambria Math" w:cs="Arial"/>
                <w:sz w:val="21"/>
                <w:szCs w:val="21"/>
                <w:shd w:val="clear" w:color="auto" w:fill="FFFFFF"/>
                <w:lang w:val="en-US"/>
              </w:rPr>
            </m:ctrlPr>
          </m:e>
          <m:sub>
            <m:r>
              <m:rPr>
                <m:sty m:val="p"/>
              </m:rPr>
              <w:rPr>
                <w:rFonts w:ascii="Cambria Math" w:eastAsiaTheme="minorEastAsia" w:hAnsi="Cambria Math" w:cs="Arial"/>
                <w:sz w:val="21"/>
                <w:szCs w:val="21"/>
                <w:shd w:val="clear" w:color="auto" w:fill="FFFFFF"/>
                <w:vertAlign w:val="subscript"/>
                <w:lang w:val="en-US"/>
              </w:rPr>
              <m:t>f</m:t>
            </m:r>
          </m:sub>
        </m:sSub>
        <m:r>
          <m:rPr>
            <m:sty m:val="p"/>
          </m:rPr>
          <w:rPr>
            <w:rFonts w:ascii="Cambria Math" w:eastAsiaTheme="minorEastAsia" w:hAnsi="Cambria Math" w:cs="Arial"/>
            <w:sz w:val="21"/>
            <w:szCs w:val="21"/>
            <w:shd w:val="clear" w:color="auto" w:fill="FFFFFF"/>
            <w:vertAlign w:val="subscript"/>
            <w:lang w:val="en-US"/>
          </w:rPr>
          <m:t>+</m:t>
        </m:r>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m</m:t>
            </m:r>
          </m:e>
          <m:sub>
            <m:r>
              <m:rPr>
                <m:sty m:val="p"/>
              </m:rPr>
              <w:rPr>
                <w:rFonts w:ascii="Cambria Math" w:hAnsi="Cambria Math" w:cs="Arial"/>
                <w:sz w:val="21"/>
                <w:szCs w:val="21"/>
                <w:shd w:val="clear" w:color="auto" w:fill="FFFFFF"/>
                <w:lang w:val="en-US"/>
              </w:rPr>
              <m:t>i</m:t>
            </m:r>
          </m:sub>
        </m:sSub>
        <m:r>
          <w:rPr>
            <w:rFonts w:ascii="Cambria Math" w:hAnsi="Cambria Math" w:cs="Arial"/>
            <w:sz w:val="21"/>
            <w:szCs w:val="21"/>
            <w:shd w:val="clear" w:color="auto" w:fill="FFFFFF"/>
            <w:lang w:val="en-US"/>
          </w:rPr>
          <m:t>⋅a</m:t>
        </m:r>
      </m:oMath>
      <w:r w:rsidR="00967FCD" w:rsidRPr="0093035D">
        <w:rPr>
          <w:rFonts w:ascii="Arial" w:eastAsiaTheme="minorEastAsia" w:hAnsi="Arial" w:cs="Arial"/>
          <w:sz w:val="21"/>
          <w:szCs w:val="21"/>
          <w:shd w:val="clear" w:color="auto" w:fill="FFFFFF"/>
          <w:lang w:val="en-US"/>
        </w:rPr>
        <w:tab/>
      </w:r>
      <w:r w:rsidR="00967FC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w:t>
      </w:r>
      <w:r w:rsidR="00967FCD">
        <w:rPr>
          <w:rFonts w:ascii="Arial" w:eastAsiaTheme="minorEastAsia" w:hAnsi="Arial" w:cs="Arial"/>
          <w:sz w:val="21"/>
          <w:szCs w:val="21"/>
          <w:shd w:val="clear" w:color="auto" w:fill="FFFFFF"/>
          <w:lang w:val="en-US"/>
        </w:rPr>
        <w:t>1</w:t>
      </w:r>
      <w:r w:rsidR="00967FCD" w:rsidRPr="0093035D">
        <w:rPr>
          <w:rFonts w:ascii="Arial" w:eastAsiaTheme="minorEastAsia" w:hAnsi="Arial" w:cs="Arial"/>
          <w:sz w:val="21"/>
          <w:szCs w:val="21"/>
          <w:shd w:val="clear" w:color="auto" w:fill="FFFFFF"/>
          <w:lang w:val="en-US"/>
        </w:rPr>
        <w:t>)</w:t>
      </w:r>
    </w:p>
    <w:p w:rsidR="00967FCD" w:rsidRPr="0093035D" w:rsidRDefault="005C4DA1" w:rsidP="00967FCD">
      <w:pPr>
        <w:pStyle w:val="Default"/>
        <w:ind w:left="1701"/>
        <w:rPr>
          <w:rFonts w:ascii="Arial" w:eastAsiaTheme="minorEastAsia" w:hAnsi="Arial" w:cs="Arial"/>
          <w:sz w:val="21"/>
          <w:szCs w:val="21"/>
          <w:shd w:val="clear" w:color="auto" w:fill="FFFFFF"/>
          <w:lang w:val="en-US"/>
        </w:rPr>
      </w:pPr>
      <m:oMath>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M</m:t>
            </m:r>
          </m:e>
          <m:sub>
            <m:r>
              <m:rPr>
                <m:sty m:val="p"/>
              </m:rPr>
              <w:rPr>
                <w:rFonts w:ascii="Cambria Math" w:hAnsi="Cambria Math" w:cs="Arial"/>
                <w:sz w:val="21"/>
                <w:szCs w:val="21"/>
                <w:shd w:val="clear" w:color="auto" w:fill="FFFFFF"/>
                <w:lang w:val="en-US"/>
              </w:rPr>
              <m:t>avg</m:t>
            </m:r>
          </m:sub>
        </m:sSub>
        <m:r>
          <m:rPr>
            <m:sty m:val="p"/>
          </m:rPr>
          <w:rPr>
            <w:rFonts w:ascii="Cambria Math" w:hAnsi="Cambria Math" w:cs="Arial"/>
            <w:sz w:val="21"/>
            <w:szCs w:val="21"/>
            <w:shd w:val="clear" w:color="auto" w:fill="FFFFFF"/>
            <w:lang w:val="en-US"/>
          </w:rPr>
          <m:t>=</m:t>
        </m:r>
        <m:f>
          <m:fPr>
            <m:ctrlPr>
              <w:rPr>
                <w:rFonts w:ascii="Cambria Math" w:hAnsi="Cambria Math" w:cs="Arial"/>
                <w:sz w:val="21"/>
                <w:szCs w:val="21"/>
                <w:shd w:val="clear" w:color="auto" w:fill="FFFFFF"/>
                <w:lang w:val="en-US"/>
              </w:rPr>
            </m:ctrlPr>
          </m:fPr>
          <m:num>
            <m:r>
              <w:rPr>
                <w:rFonts w:ascii="Cambria Math" w:hAnsi="Cambria Math" w:cs="Arial"/>
                <w:sz w:val="21"/>
                <w:szCs w:val="21"/>
                <w:shd w:val="clear" w:color="auto" w:fill="FFFFFF"/>
                <w:lang w:val="en-US"/>
              </w:rPr>
              <m:t>∑(</m:t>
            </m:r>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m</m:t>
                </m:r>
              </m:e>
              <m:sub>
                <m:r>
                  <w:rPr>
                    <w:rFonts w:ascii="Cambria Math" w:hAnsi="Cambria Math" w:cs="Arial"/>
                    <w:sz w:val="21"/>
                    <w:szCs w:val="21"/>
                    <w:shd w:val="clear" w:color="auto" w:fill="FFFFFF"/>
                    <w:lang w:val="en-US"/>
                  </w:rPr>
                  <m:t>i</m:t>
                </m:r>
              </m:sub>
            </m:sSub>
            <m:r>
              <w:rPr>
                <w:rFonts w:ascii="Cambria Math" w:hAnsi="Cambria Math" w:cs="Arial"/>
                <w:sz w:val="21"/>
                <w:szCs w:val="21"/>
                <w:shd w:val="clear" w:color="auto" w:fill="FFFFFF"/>
                <w:lang w:val="en-US"/>
              </w:rPr>
              <m:t>)</m:t>
            </m:r>
          </m:num>
          <m:den>
            <m:r>
              <w:rPr>
                <w:rFonts w:ascii="Cambria Math" w:hAnsi="Cambria Math" w:cs="Arial"/>
                <w:sz w:val="21"/>
                <w:szCs w:val="21"/>
                <w:shd w:val="clear" w:color="auto" w:fill="FFFFFF"/>
                <w:lang w:val="en-US"/>
              </w:rPr>
              <m:t>n</m:t>
            </m:r>
          </m:den>
        </m:f>
      </m:oMath>
      <w:r w:rsidR="00967FCD" w:rsidRPr="0093035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ab/>
      </w:r>
      <w:r w:rsidR="00967FCD">
        <w:rPr>
          <w:rFonts w:ascii="Arial" w:eastAsiaTheme="minorEastAsia" w:hAnsi="Arial" w:cs="Arial"/>
          <w:sz w:val="21"/>
          <w:szCs w:val="21"/>
          <w:shd w:val="clear" w:color="auto" w:fill="FFFFFF"/>
          <w:lang w:val="en-US"/>
        </w:rPr>
        <w:tab/>
      </w:r>
      <w:r w:rsidR="00967FCD">
        <w:rPr>
          <w:rFonts w:ascii="Arial" w:eastAsiaTheme="minorEastAsia" w:hAnsi="Arial" w:cs="Arial"/>
          <w:sz w:val="21"/>
          <w:szCs w:val="21"/>
          <w:shd w:val="clear" w:color="auto" w:fill="FFFFFF"/>
          <w:lang w:val="en-US"/>
        </w:rPr>
        <w:tab/>
      </w:r>
      <w:r w:rsidR="00967FC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w:t>
      </w:r>
      <w:r w:rsidR="00967FCD">
        <w:rPr>
          <w:rFonts w:ascii="Arial" w:eastAsiaTheme="minorEastAsia" w:hAnsi="Arial" w:cs="Arial"/>
          <w:sz w:val="21"/>
          <w:szCs w:val="21"/>
          <w:shd w:val="clear" w:color="auto" w:fill="FFFFFF"/>
          <w:lang w:val="en-US"/>
        </w:rPr>
        <w:t>2</w:t>
      </w:r>
      <w:r w:rsidR="00967FCD" w:rsidRPr="0093035D">
        <w:rPr>
          <w:rFonts w:ascii="Arial" w:eastAsiaTheme="minorEastAsia" w:hAnsi="Arial" w:cs="Arial"/>
          <w:sz w:val="21"/>
          <w:szCs w:val="21"/>
          <w:shd w:val="clear" w:color="auto" w:fill="FFFFFF"/>
          <w:lang w:val="en-US"/>
        </w:rPr>
        <w:t>)</w:t>
      </w:r>
    </w:p>
    <w:p w:rsidR="00967FCD" w:rsidRPr="0093035D" w:rsidRDefault="005C4DA1" w:rsidP="00967FCD">
      <w:pPr>
        <w:pStyle w:val="Default"/>
        <w:ind w:left="1701"/>
        <w:rPr>
          <w:rFonts w:ascii="Arial" w:eastAsiaTheme="minorEastAsia" w:hAnsi="Arial" w:cs="Arial"/>
          <w:sz w:val="21"/>
          <w:szCs w:val="21"/>
          <w:shd w:val="clear" w:color="auto" w:fill="FFFFFF"/>
          <w:lang w:val="en-US"/>
        </w:rPr>
      </w:pPr>
      <m:oMath>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EC</m:t>
            </m:r>
          </m:e>
          <m:sub>
            <m:r>
              <m:rPr>
                <m:sty m:val="p"/>
              </m:rPr>
              <w:rPr>
                <w:rFonts w:ascii="Cambria Math" w:hAnsi="Cambria Math" w:cs="Arial"/>
                <w:sz w:val="21"/>
                <w:szCs w:val="21"/>
                <w:shd w:val="clear" w:color="auto" w:fill="FFFFFF"/>
                <w:lang w:val="en-US"/>
              </w:rPr>
              <m:t>avg</m:t>
            </m:r>
          </m:sub>
        </m:sSub>
        <m:r>
          <m:rPr>
            <m:sty m:val="bi"/>
          </m:rPr>
          <w:rPr>
            <w:rFonts w:ascii="Cambria Math" w:hAnsi="Cambria Math" w:cs="Arial"/>
            <w:sz w:val="21"/>
            <w:szCs w:val="21"/>
            <w:shd w:val="clear" w:color="auto" w:fill="FFFFFF"/>
            <w:lang w:val="en-US"/>
          </w:rPr>
          <m:t xml:space="preserve">= </m:t>
        </m:r>
        <m:f>
          <m:fPr>
            <m:ctrlPr>
              <w:rPr>
                <w:rFonts w:ascii="Cambria Math" w:hAnsi="Cambria Math" w:cs="Arial"/>
                <w:sz w:val="21"/>
                <w:szCs w:val="21"/>
                <w:shd w:val="clear" w:color="auto" w:fill="FFFFFF"/>
                <w:lang w:val="en-US"/>
              </w:rPr>
            </m:ctrlPr>
          </m:fPr>
          <m:num>
            <m:r>
              <w:rPr>
                <w:rFonts w:ascii="Cambria Math" w:hAnsi="Cambria Math" w:cs="Arial"/>
                <w:sz w:val="21"/>
                <w:szCs w:val="21"/>
                <w:shd w:val="clear" w:color="auto" w:fill="FFFFFF"/>
                <w:lang w:val="en-US"/>
              </w:rPr>
              <m:t>∑(</m:t>
            </m:r>
            <m:sSub>
              <m:sSubPr>
                <m:ctrlPr>
                  <w:rPr>
                    <w:rFonts w:ascii="Cambria Math" w:hAnsi="Cambria Math" w:cs="Arial"/>
                    <w:b/>
                    <w:sz w:val="21"/>
                    <w:szCs w:val="21"/>
                    <w:shd w:val="clear" w:color="auto" w:fill="FFFFFF"/>
                    <w:lang w:val="en-US"/>
                  </w:rPr>
                </m:ctrlPr>
              </m:sSubPr>
              <m:e>
                <m:r>
                  <m:rPr>
                    <m:sty m:val="b"/>
                  </m:rPr>
                  <w:rPr>
                    <w:rFonts w:ascii="Cambria Math" w:hAnsi="Cambria Math" w:cs="Arial"/>
                    <w:sz w:val="21"/>
                    <w:szCs w:val="21"/>
                    <w:shd w:val="clear" w:color="auto" w:fill="FFFFFF"/>
                    <w:lang w:val="en-US"/>
                  </w:rPr>
                  <m:t>ec</m:t>
                </m:r>
              </m:e>
              <m:sub>
                <m:r>
                  <m:rPr>
                    <m:sty m:val="b"/>
                  </m:rPr>
                  <w:rPr>
                    <w:rFonts w:ascii="Cambria Math" w:hAnsi="Cambria Math" w:cs="Arial"/>
                    <w:sz w:val="21"/>
                    <w:szCs w:val="21"/>
                    <w:shd w:val="clear" w:color="auto" w:fill="FFFFFF"/>
                    <w:lang w:val="en-US"/>
                  </w:rPr>
                  <m:t>i</m:t>
                </m:r>
              </m:sub>
            </m:sSub>
            <m:r>
              <w:rPr>
                <w:rFonts w:ascii="Cambria Math" w:hAnsi="Cambria Math" w:cs="Arial"/>
                <w:sz w:val="21"/>
                <w:szCs w:val="21"/>
                <w:shd w:val="clear" w:color="auto" w:fill="FFFFFF"/>
                <w:lang w:val="en-US"/>
              </w:rPr>
              <m:t>)</m:t>
            </m:r>
          </m:num>
          <m:den>
            <m:r>
              <w:rPr>
                <w:rFonts w:ascii="Cambria Math" w:hAnsi="Cambria Math" w:cs="Arial"/>
                <w:sz w:val="21"/>
                <w:szCs w:val="21"/>
                <w:shd w:val="clear" w:color="auto" w:fill="FFFFFF"/>
                <w:lang w:val="en-US"/>
              </w:rPr>
              <m:t>n</m:t>
            </m:r>
          </m:den>
        </m:f>
      </m:oMath>
      <w:r w:rsidR="00967FCD" w:rsidRPr="0093035D">
        <w:rPr>
          <w:rFonts w:ascii="Arial" w:eastAsiaTheme="minorEastAsia" w:hAnsi="Arial" w:cs="Arial"/>
          <w:sz w:val="21"/>
          <w:szCs w:val="21"/>
          <w:shd w:val="clear" w:color="auto" w:fill="FFFFFF"/>
          <w:lang w:val="en-US"/>
        </w:rPr>
        <w:tab/>
      </w:r>
      <w:r w:rsidR="00967FC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ab/>
      </w:r>
      <w:r w:rsidR="00967FCD">
        <w:rPr>
          <w:rFonts w:ascii="Arial" w:eastAsiaTheme="minorEastAsia" w:hAnsi="Arial" w:cs="Arial"/>
          <w:sz w:val="21"/>
          <w:szCs w:val="21"/>
          <w:shd w:val="clear" w:color="auto" w:fill="FFFFFF"/>
          <w:lang w:val="en-US"/>
        </w:rPr>
        <w:tab/>
      </w:r>
      <w:r w:rsidR="00967FCD">
        <w:rPr>
          <w:rFonts w:ascii="Arial" w:eastAsiaTheme="minorEastAsia" w:hAnsi="Arial" w:cs="Arial"/>
          <w:sz w:val="21"/>
          <w:szCs w:val="21"/>
          <w:shd w:val="clear" w:color="auto" w:fill="FFFFFF"/>
          <w:lang w:val="en-US"/>
        </w:rPr>
        <w:tab/>
      </w:r>
      <w:r w:rsidR="00967FCD" w:rsidRPr="0093035D">
        <w:rPr>
          <w:rFonts w:ascii="Arial" w:eastAsiaTheme="minorEastAsia" w:hAnsi="Arial" w:cs="Arial"/>
          <w:sz w:val="21"/>
          <w:szCs w:val="21"/>
          <w:shd w:val="clear" w:color="auto" w:fill="FFFFFF"/>
          <w:lang w:val="en-US"/>
        </w:rPr>
        <w:t>(</w:t>
      </w:r>
      <w:r w:rsidR="00967FCD">
        <w:rPr>
          <w:rFonts w:ascii="Arial" w:eastAsiaTheme="minorEastAsia" w:hAnsi="Arial" w:cs="Arial"/>
          <w:sz w:val="21"/>
          <w:szCs w:val="21"/>
          <w:shd w:val="clear" w:color="auto" w:fill="FFFFFF"/>
          <w:lang w:val="en-US"/>
        </w:rPr>
        <w:t>3</w:t>
      </w:r>
      <w:r w:rsidR="00967FCD" w:rsidRPr="0093035D">
        <w:rPr>
          <w:rFonts w:ascii="Arial" w:eastAsiaTheme="minorEastAsia" w:hAnsi="Arial" w:cs="Arial"/>
          <w:sz w:val="21"/>
          <w:szCs w:val="21"/>
          <w:shd w:val="clear" w:color="auto" w:fill="FFFFFF"/>
          <w:lang w:val="en-US"/>
        </w:rPr>
        <w:t>)</w:t>
      </w:r>
    </w:p>
    <w:p w:rsidR="00967FCD" w:rsidRPr="0093035D" w:rsidRDefault="00967FCD" w:rsidP="00967FCD">
      <w:pPr>
        <w:pStyle w:val="Default"/>
        <w:ind w:left="3261" w:hanging="142"/>
        <w:rPr>
          <w:rFonts w:ascii="Arial" w:eastAsiaTheme="minorEastAsia" w:hAnsi="Arial" w:cs="Arial"/>
          <w:sz w:val="21"/>
          <w:szCs w:val="21"/>
          <w:shd w:val="clear" w:color="auto" w:fill="FFFFFF"/>
          <w:lang w:val="en-US"/>
        </w:rPr>
      </w:pPr>
    </w:p>
    <w:p w:rsidR="00967FCD" w:rsidRPr="0093035D" w:rsidRDefault="00967FCD" w:rsidP="00967FCD">
      <w:pPr>
        <w:pStyle w:val="Default"/>
        <w:jc w:val="both"/>
        <w:rPr>
          <w:rFonts w:ascii="Arial" w:eastAsiaTheme="minorEastAsia" w:hAnsi="Arial" w:cs="Arial"/>
          <w:sz w:val="21"/>
          <w:szCs w:val="21"/>
          <w:shd w:val="clear" w:color="auto" w:fill="FFFFFF"/>
          <w:lang w:val="en-US"/>
        </w:rPr>
      </w:pPr>
      <w:r w:rsidRPr="0093035D">
        <w:rPr>
          <w:rFonts w:ascii="Arial" w:eastAsiaTheme="minorEastAsia" w:hAnsi="Arial" w:cs="Arial"/>
          <w:sz w:val="22"/>
          <w:szCs w:val="22"/>
          <w:shd w:val="clear" w:color="auto" w:fill="FFFFFF"/>
          <w:lang w:val="en-US"/>
        </w:rPr>
        <w:t xml:space="preserve">Where, </w:t>
      </w:r>
      <m:oMath>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M</m:t>
            </m:r>
          </m:e>
          <m:sub>
            <m:r>
              <m:rPr>
                <m:sty m:val="p"/>
              </m:rPr>
              <w:rPr>
                <w:rFonts w:ascii="Cambria Math" w:hAnsi="Cambria Math" w:cs="Arial"/>
                <w:sz w:val="21"/>
                <w:szCs w:val="21"/>
                <w:shd w:val="clear" w:color="auto" w:fill="FFFFFF"/>
                <w:lang w:val="en-US"/>
              </w:rPr>
              <m:t>avg</m:t>
            </m:r>
          </m:sub>
        </m:sSub>
      </m:oMath>
      <w:r w:rsidRPr="0093035D">
        <w:rPr>
          <w:rFonts w:ascii="Arial" w:eastAsiaTheme="minorEastAsia" w:hAnsi="Arial" w:cs="Arial"/>
          <w:sz w:val="21"/>
          <w:szCs w:val="21"/>
          <w:shd w:val="clear" w:color="auto" w:fill="FFFFFF"/>
          <w:lang w:val="en-US"/>
        </w:rPr>
        <w:t xml:space="preserve"> – average mass of the vehicle</w:t>
      </w:r>
      <w:r>
        <w:rPr>
          <w:rFonts w:ascii="Arial" w:eastAsiaTheme="minorEastAsia" w:hAnsi="Arial" w:cs="Arial"/>
          <w:sz w:val="21"/>
          <w:szCs w:val="21"/>
          <w:shd w:val="clear" w:color="auto" w:fill="FFFFFF"/>
          <w:lang w:val="en-US"/>
        </w:rPr>
        <w:t>, [</w:t>
      </w:r>
      <w:r w:rsidRPr="00444B2B">
        <w:rPr>
          <w:rFonts w:ascii="Arial" w:eastAsiaTheme="minorEastAsia" w:hAnsi="Arial" w:cs="Arial"/>
          <w:sz w:val="21"/>
          <w:szCs w:val="21"/>
          <w:shd w:val="clear" w:color="auto" w:fill="FFFFFF"/>
          <w:lang w:val="en-US"/>
        </w:rPr>
        <w:t>kg</w:t>
      </w:r>
      <w:r>
        <w:rPr>
          <w:rFonts w:ascii="Arial" w:eastAsiaTheme="minorEastAsia" w:hAnsi="Arial" w:cs="Arial"/>
          <w:sz w:val="21"/>
          <w:szCs w:val="21"/>
          <w:shd w:val="clear" w:color="auto" w:fill="FFFFFF"/>
          <w:lang w:val="en-US"/>
        </w:rPr>
        <w:t>];</w:t>
      </w:r>
      <w:r w:rsidRPr="0093035D">
        <w:rPr>
          <w:rFonts w:ascii="Arial" w:eastAsiaTheme="minorEastAsia" w:hAnsi="Arial" w:cs="Arial"/>
          <w:sz w:val="21"/>
          <w:szCs w:val="21"/>
          <w:shd w:val="clear" w:color="auto" w:fill="FFFFFF"/>
          <w:lang w:val="en-US"/>
        </w:rPr>
        <w:t xml:space="preserve"> </w:t>
      </w:r>
      <m:oMath>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m</m:t>
            </m:r>
          </m:e>
          <m:sub>
            <m:r>
              <m:rPr>
                <m:sty m:val="p"/>
              </m:rPr>
              <w:rPr>
                <w:rFonts w:ascii="Cambria Math" w:hAnsi="Cambria Math" w:cs="Arial"/>
                <w:sz w:val="21"/>
                <w:szCs w:val="21"/>
                <w:shd w:val="clear" w:color="auto" w:fill="FFFFFF"/>
                <w:lang w:val="en-US"/>
              </w:rPr>
              <m:t>i</m:t>
            </m:r>
          </m:sub>
        </m:sSub>
      </m:oMath>
      <w:r w:rsidRPr="0093035D">
        <w:rPr>
          <w:rFonts w:ascii="Arial" w:eastAsiaTheme="minorEastAsia" w:hAnsi="Arial" w:cs="Arial"/>
          <w:sz w:val="21"/>
          <w:szCs w:val="21"/>
          <w:shd w:val="clear" w:color="auto" w:fill="FFFFFF"/>
          <w:lang w:val="en-US"/>
        </w:rPr>
        <w:t xml:space="preserve"> – mass of </w:t>
      </w:r>
      <w:r>
        <w:rPr>
          <w:rFonts w:ascii="Arial" w:eastAsiaTheme="minorEastAsia" w:hAnsi="Arial" w:cs="Arial"/>
          <w:sz w:val="21"/>
          <w:szCs w:val="21"/>
          <w:shd w:val="clear" w:color="auto" w:fill="FFFFFF"/>
          <w:lang w:val="en-US"/>
        </w:rPr>
        <w:t xml:space="preserve">the </w:t>
      </w:r>
      <w:r w:rsidRPr="0093035D">
        <w:rPr>
          <w:rFonts w:ascii="Arial" w:eastAsiaTheme="minorEastAsia" w:hAnsi="Arial" w:cs="Arial"/>
          <w:sz w:val="21"/>
          <w:szCs w:val="21"/>
          <w:shd w:val="clear" w:color="auto" w:fill="FFFFFF"/>
          <w:lang w:val="en-US"/>
        </w:rPr>
        <w:t>vehicle for the same fuel type,</w:t>
      </w:r>
      <w:r>
        <w:rPr>
          <w:rFonts w:ascii="Arial" w:eastAsiaTheme="minorEastAsia" w:hAnsi="Arial" w:cs="Arial"/>
          <w:sz w:val="21"/>
          <w:szCs w:val="21"/>
          <w:shd w:val="clear" w:color="auto" w:fill="FFFFFF"/>
          <w:lang w:val="en-US"/>
        </w:rPr>
        <w:t xml:space="preserve"> [kg]; </w:t>
      </w:r>
      <m:oMath>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EC</m:t>
            </m:r>
          </m:e>
          <m:sub>
            <m:r>
              <m:rPr>
                <m:sty m:val="p"/>
              </m:rPr>
              <w:rPr>
                <w:rFonts w:ascii="Cambria Math" w:hAnsi="Cambria Math" w:cs="Arial"/>
                <w:sz w:val="21"/>
                <w:szCs w:val="21"/>
                <w:shd w:val="clear" w:color="auto" w:fill="FFFFFF"/>
                <w:lang w:val="en-US"/>
              </w:rPr>
              <m:t>avg</m:t>
            </m:r>
          </m:sub>
        </m:sSub>
      </m:oMath>
      <w:r w:rsidRPr="0093035D">
        <w:rPr>
          <w:rFonts w:ascii="Arial" w:eastAsiaTheme="minorEastAsia" w:hAnsi="Arial" w:cs="Arial"/>
          <w:sz w:val="21"/>
          <w:szCs w:val="21"/>
          <w:shd w:val="clear" w:color="auto" w:fill="FFFFFF"/>
          <w:lang w:val="en-US"/>
        </w:rPr>
        <w:t xml:space="preserve"> – average energy consumption of the vehicle,</w:t>
      </w:r>
      <w:r>
        <w:rPr>
          <w:rFonts w:ascii="Arial" w:eastAsiaTheme="minorEastAsia" w:hAnsi="Arial" w:cs="Arial"/>
          <w:sz w:val="21"/>
          <w:szCs w:val="21"/>
          <w:shd w:val="clear" w:color="auto" w:fill="FFFFFF"/>
          <w:lang w:val="en-US"/>
        </w:rPr>
        <w:t xml:space="preserve"> [kWh];</w:t>
      </w:r>
      <w:r w:rsidRPr="0093035D">
        <w:rPr>
          <w:rFonts w:ascii="Arial" w:eastAsiaTheme="minorEastAsia" w:hAnsi="Arial" w:cs="Arial"/>
          <w:sz w:val="21"/>
          <w:szCs w:val="21"/>
          <w:shd w:val="clear" w:color="auto" w:fill="FFFFFF"/>
          <w:lang w:val="en-US"/>
        </w:rPr>
        <w:t xml:space="preserve"> </w:t>
      </w:r>
      <m:oMath>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ec</m:t>
            </m:r>
          </m:e>
          <m:sub>
            <m:r>
              <m:rPr>
                <m:sty m:val="p"/>
              </m:rPr>
              <w:rPr>
                <w:rFonts w:ascii="Cambria Math" w:hAnsi="Cambria Math" w:cs="Arial"/>
                <w:sz w:val="21"/>
                <w:szCs w:val="21"/>
                <w:shd w:val="clear" w:color="auto" w:fill="FFFFFF"/>
                <w:lang w:val="en-US"/>
              </w:rPr>
              <m:t xml:space="preserve">i </m:t>
            </m:r>
          </m:sub>
        </m:sSub>
      </m:oMath>
      <w:r w:rsidRPr="0093035D">
        <w:rPr>
          <w:rFonts w:ascii="Arial" w:eastAsiaTheme="minorEastAsia" w:hAnsi="Arial" w:cs="Arial"/>
          <w:sz w:val="21"/>
          <w:szCs w:val="21"/>
          <w:shd w:val="clear" w:color="auto" w:fill="FFFFFF"/>
          <w:lang w:val="en-US"/>
        </w:rPr>
        <w:t>– energy consumption of the vehicle for the same fuel type,</w:t>
      </w:r>
      <w:r>
        <w:rPr>
          <w:rFonts w:ascii="Arial" w:eastAsiaTheme="minorEastAsia" w:hAnsi="Arial" w:cs="Arial"/>
          <w:sz w:val="21"/>
          <w:szCs w:val="21"/>
          <w:shd w:val="clear" w:color="auto" w:fill="FFFFFF"/>
          <w:lang w:val="en-US"/>
        </w:rPr>
        <w:t xml:space="preserve"> [kg];</w:t>
      </w:r>
      <w:r w:rsidRPr="0093035D">
        <w:rPr>
          <w:rFonts w:ascii="Arial" w:eastAsiaTheme="minorEastAsia" w:hAnsi="Arial" w:cs="Arial"/>
          <w:sz w:val="21"/>
          <w:szCs w:val="21"/>
          <w:shd w:val="clear" w:color="auto" w:fill="FFFFFF"/>
          <w:lang w:val="en-US"/>
        </w:rPr>
        <w:t xml:space="preserve"> n - number of vehicles, </w:t>
      </w:r>
      <m:oMath>
        <m:sSub>
          <m:sSubPr>
            <m:ctrlPr>
              <w:rPr>
                <w:rFonts w:ascii="Cambria Math" w:eastAsiaTheme="minorEastAsia" w:hAnsi="Cambria Math" w:cs="Arial"/>
                <w:i/>
                <w:sz w:val="21"/>
                <w:szCs w:val="21"/>
                <w:shd w:val="clear" w:color="auto" w:fill="FFFFFF"/>
                <w:lang w:val="en-US"/>
              </w:rPr>
            </m:ctrlPr>
          </m:sSubPr>
          <m:e>
            <m:r>
              <w:rPr>
                <w:rFonts w:ascii="Cambria Math" w:eastAsiaTheme="minorEastAsia" w:hAnsi="Cambria Math" w:cs="Arial"/>
                <w:sz w:val="21"/>
                <w:szCs w:val="21"/>
                <w:shd w:val="clear" w:color="auto" w:fill="FFFFFF"/>
                <w:lang w:val="en-US"/>
              </w:rPr>
              <m:t>R</m:t>
            </m:r>
          </m:e>
          <m:sub>
            <m:r>
              <w:rPr>
                <w:rFonts w:ascii="Cambria Math" w:eastAsiaTheme="minorEastAsia" w:hAnsi="Cambria Math" w:cs="Arial"/>
                <w:sz w:val="21"/>
                <w:szCs w:val="21"/>
                <w:shd w:val="clear" w:color="auto" w:fill="FFFFFF"/>
                <w:lang w:val="en-US"/>
              </w:rPr>
              <m:t>tot</m:t>
            </m:r>
          </m:sub>
        </m:sSub>
      </m:oMath>
      <w:r w:rsidRPr="0093035D">
        <w:rPr>
          <w:rFonts w:ascii="Arial" w:eastAsiaTheme="minorEastAsia" w:hAnsi="Arial" w:cs="Arial"/>
          <w:sz w:val="21"/>
          <w:szCs w:val="21"/>
          <w:shd w:val="clear" w:color="auto" w:fill="FFFFFF"/>
          <w:lang w:val="en-US"/>
        </w:rPr>
        <w:t xml:space="preserve"> - total resistance</w:t>
      </w:r>
      <w:r>
        <w:rPr>
          <w:rFonts w:ascii="Arial" w:eastAsiaTheme="minorEastAsia" w:hAnsi="Arial" w:cs="Arial"/>
          <w:sz w:val="21"/>
          <w:szCs w:val="21"/>
          <w:shd w:val="clear" w:color="auto" w:fill="FFFFFF"/>
          <w:lang w:val="en-US"/>
        </w:rPr>
        <w:t xml:space="preserve"> to vehicle motion</w:t>
      </w:r>
      <w:r w:rsidRPr="0093035D">
        <w:rPr>
          <w:rFonts w:ascii="Arial" w:eastAsiaTheme="minorEastAsia" w:hAnsi="Arial" w:cs="Arial"/>
          <w:sz w:val="21"/>
          <w:szCs w:val="21"/>
          <w:shd w:val="clear" w:color="auto" w:fill="FFFFFF"/>
          <w:lang w:val="en-US"/>
        </w:rPr>
        <w:t>,</w:t>
      </w:r>
      <w:r>
        <w:rPr>
          <w:rFonts w:ascii="Arial" w:eastAsiaTheme="minorEastAsia" w:hAnsi="Arial" w:cs="Arial"/>
          <w:sz w:val="21"/>
          <w:szCs w:val="21"/>
          <w:shd w:val="clear" w:color="auto" w:fill="FFFFFF"/>
          <w:lang w:val="en-US"/>
        </w:rPr>
        <w:t xml:space="preserve"> [N];</w:t>
      </w:r>
      <w:r w:rsidRPr="0093035D">
        <w:rPr>
          <w:rFonts w:ascii="Arial" w:eastAsiaTheme="minorEastAsia" w:hAnsi="Arial" w:cs="Arial"/>
          <w:sz w:val="21"/>
          <w:szCs w:val="21"/>
          <w:shd w:val="clear" w:color="auto" w:fill="FFFFFF"/>
          <w:lang w:val="en-US"/>
        </w:rPr>
        <w:t xml:space="preserve"> </w:t>
      </w:r>
      <m:oMath>
        <m:r>
          <w:rPr>
            <w:rFonts w:ascii="Cambria Math" w:hAnsi="Cambria Math" w:cs="Arial"/>
            <w:sz w:val="21"/>
            <w:szCs w:val="21"/>
            <w:shd w:val="clear" w:color="auto" w:fill="FFFFFF"/>
            <w:lang w:val="en-US"/>
          </w:rPr>
          <m:t>a</m:t>
        </m:r>
      </m:oMath>
      <w:r w:rsidRPr="0093035D">
        <w:rPr>
          <w:rFonts w:ascii="Arial" w:eastAsiaTheme="minorEastAsia" w:hAnsi="Arial" w:cs="Arial"/>
          <w:sz w:val="21"/>
          <w:szCs w:val="21"/>
          <w:shd w:val="clear" w:color="auto" w:fill="FFFFFF"/>
          <w:lang w:val="en-US"/>
        </w:rPr>
        <w:t xml:space="preserve"> – acceleration,</w:t>
      </w:r>
      <w:r w:rsidRPr="00153BDF">
        <w:rPr>
          <w:rFonts w:ascii="Arial" w:eastAsiaTheme="minorEastAsia" w:hAnsi="Arial" w:cs="Arial"/>
          <w:sz w:val="21"/>
          <w:szCs w:val="21"/>
          <w:shd w:val="clear" w:color="auto" w:fill="FFFFFF"/>
          <w:lang w:val="en-US"/>
        </w:rPr>
        <w:t xml:space="preserve"> </w:t>
      </w:r>
      <w:r>
        <w:rPr>
          <w:rFonts w:ascii="Arial" w:eastAsiaTheme="minorEastAsia" w:hAnsi="Arial" w:cs="Arial"/>
          <w:sz w:val="21"/>
          <w:szCs w:val="21"/>
          <w:shd w:val="clear" w:color="auto" w:fill="FFFFFF"/>
          <w:lang w:val="en-US"/>
        </w:rPr>
        <w:t>[m/s</w:t>
      </w:r>
      <w:r w:rsidRPr="00153BDF">
        <w:rPr>
          <w:rFonts w:ascii="Arial" w:eastAsiaTheme="minorEastAsia" w:hAnsi="Arial" w:cs="Arial"/>
          <w:sz w:val="21"/>
          <w:szCs w:val="21"/>
          <w:shd w:val="clear" w:color="auto" w:fill="FFFFFF"/>
          <w:vertAlign w:val="superscript"/>
          <w:lang w:val="en-US"/>
        </w:rPr>
        <w:t>2</w:t>
      </w:r>
      <w:r>
        <w:rPr>
          <w:rFonts w:ascii="Arial" w:eastAsiaTheme="minorEastAsia" w:hAnsi="Arial" w:cs="Arial"/>
          <w:sz w:val="21"/>
          <w:szCs w:val="21"/>
          <w:shd w:val="clear" w:color="auto" w:fill="FFFFFF"/>
          <w:lang w:val="en-US"/>
        </w:rPr>
        <w:t>];</w:t>
      </w:r>
      <w:r w:rsidRPr="0093035D">
        <w:rPr>
          <w:rFonts w:ascii="Arial" w:eastAsiaTheme="minorEastAsia" w:hAnsi="Arial" w:cs="Arial"/>
          <w:sz w:val="21"/>
          <w:szCs w:val="21"/>
          <w:shd w:val="clear" w:color="auto" w:fill="FFFFFF"/>
          <w:lang w:val="en-US"/>
        </w:rPr>
        <w:t xml:space="preserve"> </w:t>
      </w:r>
      <m:oMath>
        <m:r>
          <w:rPr>
            <w:rFonts w:ascii="Cambria Math" w:eastAsiaTheme="minorEastAsia" w:hAnsi="Cambria Math" w:cs="Arial"/>
            <w:sz w:val="21"/>
            <w:szCs w:val="21"/>
            <w:shd w:val="clear" w:color="auto" w:fill="FFFFFF"/>
            <w:lang w:val="en-US"/>
          </w:rPr>
          <m:t>v</m:t>
        </m:r>
      </m:oMath>
      <w:r w:rsidRPr="0093035D">
        <w:rPr>
          <w:rFonts w:ascii="Arial" w:eastAsiaTheme="minorEastAsia" w:hAnsi="Arial" w:cs="Arial"/>
          <w:sz w:val="21"/>
          <w:szCs w:val="21"/>
          <w:shd w:val="clear" w:color="auto" w:fill="FFFFFF"/>
          <w:lang w:val="en-US"/>
        </w:rPr>
        <w:t xml:space="preserve"> – velocity, </w:t>
      </w:r>
      <w:r>
        <w:rPr>
          <w:rFonts w:ascii="Arial" w:eastAsiaTheme="minorEastAsia" w:hAnsi="Arial" w:cs="Arial"/>
          <w:sz w:val="21"/>
          <w:szCs w:val="21"/>
          <w:shd w:val="clear" w:color="auto" w:fill="FFFFFF"/>
          <w:lang w:val="en-US"/>
        </w:rPr>
        <w:t>[m/s];</w:t>
      </w:r>
      <w:r w:rsidRPr="0093035D">
        <w:rPr>
          <w:rFonts w:ascii="Arial" w:eastAsiaTheme="minorEastAsia" w:hAnsi="Arial" w:cs="Arial"/>
          <w:sz w:val="21"/>
          <w:szCs w:val="21"/>
          <w:shd w:val="clear" w:color="auto" w:fill="FFFFFF"/>
          <w:lang w:val="en-US"/>
        </w:rPr>
        <w:t xml:space="preserve"> </w:t>
      </w:r>
      <m:oMath>
        <m:sSub>
          <m:sSubPr>
            <m:ctrlPr>
              <w:rPr>
                <w:rFonts w:ascii="Cambria Math" w:eastAsiaTheme="minorEastAsia" w:hAnsi="Cambria Math" w:cs="Arial"/>
                <w:sz w:val="21"/>
                <w:szCs w:val="21"/>
                <w:shd w:val="clear" w:color="auto" w:fill="FFFFFF"/>
                <w:lang w:val="en-US"/>
              </w:rPr>
            </m:ctrlPr>
          </m:sSubPr>
          <m:e>
            <m:r>
              <m:rPr>
                <m:sty m:val="p"/>
              </m:rPr>
              <w:rPr>
                <w:rFonts w:ascii="Cambria Math" w:eastAsiaTheme="minorEastAsia" w:hAnsi="Cambria Math" w:cs="Arial"/>
                <w:sz w:val="21"/>
                <w:szCs w:val="21"/>
                <w:shd w:val="clear" w:color="auto" w:fill="FFFFFF"/>
                <w:lang w:val="en-US"/>
              </w:rPr>
              <m:t>C</m:t>
            </m:r>
          </m:e>
          <m:sub>
            <m:r>
              <m:rPr>
                <m:sty m:val="p"/>
              </m:rPr>
              <w:rPr>
                <w:rFonts w:ascii="Cambria Math" w:eastAsiaTheme="minorEastAsia" w:hAnsi="Cambria Math" w:cs="Arial"/>
                <w:sz w:val="21"/>
                <w:szCs w:val="21"/>
                <w:shd w:val="clear" w:color="auto" w:fill="FFFFFF"/>
                <w:vertAlign w:val="subscript"/>
                <w:lang w:val="en-US"/>
              </w:rPr>
              <m:t>x</m:t>
            </m:r>
          </m:sub>
        </m:sSub>
      </m:oMath>
      <w:r>
        <w:rPr>
          <w:rFonts w:ascii="Arial" w:eastAsiaTheme="minorEastAsia" w:hAnsi="Arial" w:cs="Arial"/>
          <w:sz w:val="21"/>
          <w:szCs w:val="21"/>
          <w:shd w:val="clear" w:color="auto" w:fill="FFFFFF"/>
          <w:vertAlign w:val="subscript"/>
          <w:lang w:val="en-US"/>
        </w:rPr>
        <w:t xml:space="preserve"> </w:t>
      </w:r>
      <w:r w:rsidRPr="00153BDF">
        <w:rPr>
          <w:rFonts w:ascii="Arial" w:eastAsiaTheme="minorEastAsia" w:hAnsi="Arial" w:cs="Arial"/>
          <w:sz w:val="21"/>
          <w:szCs w:val="21"/>
          <w:shd w:val="clear" w:color="auto" w:fill="FFFFFF"/>
          <w:lang w:val="en-US"/>
        </w:rPr>
        <w:t xml:space="preserve">– </w:t>
      </w:r>
      <w:r w:rsidRPr="0093035D">
        <w:rPr>
          <w:rFonts w:ascii="Arial" w:eastAsiaTheme="minorEastAsia" w:hAnsi="Arial" w:cs="Arial"/>
          <w:sz w:val="21"/>
          <w:szCs w:val="21"/>
          <w:shd w:val="clear" w:color="auto" w:fill="FFFFFF"/>
          <w:lang w:val="en-US"/>
        </w:rPr>
        <w:t>aerodynamic</w:t>
      </w:r>
      <w:r>
        <w:rPr>
          <w:rFonts w:ascii="Arial" w:eastAsiaTheme="minorEastAsia" w:hAnsi="Arial" w:cs="Arial"/>
          <w:sz w:val="21"/>
          <w:szCs w:val="21"/>
          <w:shd w:val="clear" w:color="auto" w:fill="FFFFFF"/>
          <w:lang w:val="en-US"/>
        </w:rPr>
        <w:t xml:space="preserve"> </w:t>
      </w:r>
      <w:r w:rsidRPr="0093035D">
        <w:rPr>
          <w:rFonts w:ascii="Arial" w:eastAsiaTheme="minorEastAsia" w:hAnsi="Arial" w:cs="Arial"/>
          <w:sz w:val="21"/>
          <w:szCs w:val="21"/>
          <w:shd w:val="clear" w:color="auto" w:fill="FFFFFF"/>
          <w:lang w:val="en-US"/>
        </w:rPr>
        <w:t>drag coefficient,</w:t>
      </w:r>
      <w:r w:rsidRPr="00153BDF">
        <w:rPr>
          <w:rFonts w:ascii="Arial" w:eastAsiaTheme="minorEastAsia" w:hAnsi="Arial" w:cs="Arial"/>
          <w:sz w:val="21"/>
          <w:szCs w:val="21"/>
          <w:shd w:val="clear" w:color="auto" w:fill="FFFFFF"/>
          <w:lang w:val="en-US"/>
        </w:rPr>
        <w:t xml:space="preserve"> </w:t>
      </w:r>
      <w:r>
        <w:rPr>
          <w:rFonts w:ascii="Arial" w:eastAsiaTheme="minorEastAsia" w:hAnsi="Arial" w:cs="Arial"/>
          <w:sz w:val="21"/>
          <w:szCs w:val="21"/>
          <w:shd w:val="clear" w:color="auto" w:fill="FFFFFF"/>
          <w:lang w:val="en-US"/>
        </w:rPr>
        <w:t>[N];</w:t>
      </w:r>
      <w:r w:rsidRPr="0093035D">
        <w:rPr>
          <w:rFonts w:ascii="Arial" w:eastAsiaTheme="minorEastAsia" w:hAnsi="Arial" w:cs="Arial"/>
          <w:sz w:val="21"/>
          <w:szCs w:val="21"/>
          <w:shd w:val="clear" w:color="auto" w:fill="FFFFFF"/>
          <w:lang w:val="en-US"/>
        </w:rPr>
        <w:t xml:space="preserve"> </w:t>
      </w:r>
      <m:oMath>
        <m:sSub>
          <m:sSubPr>
            <m:ctrlPr>
              <w:rPr>
                <w:rFonts w:ascii="Cambria Math" w:eastAsiaTheme="minorEastAsia" w:hAnsi="Cambria Math" w:cs="Arial"/>
                <w:sz w:val="21"/>
                <w:szCs w:val="21"/>
                <w:shd w:val="clear" w:color="auto" w:fill="FFFFFF"/>
                <w:lang w:val="en-US"/>
              </w:rPr>
            </m:ctrlPr>
          </m:sSubPr>
          <m:e>
            <m:r>
              <m:rPr>
                <m:sty m:val="p"/>
              </m:rPr>
              <w:rPr>
                <w:rFonts w:ascii="Cambria Math" w:eastAsiaTheme="minorEastAsia" w:hAnsi="Cambria Math" w:cs="Arial"/>
                <w:sz w:val="21"/>
                <w:szCs w:val="21"/>
                <w:shd w:val="clear" w:color="auto" w:fill="FFFFFF"/>
                <w:lang w:val="en-US"/>
              </w:rPr>
              <m:t>A</m:t>
            </m:r>
          </m:e>
          <m:sub>
            <m:r>
              <w:rPr>
                <w:rFonts w:ascii="Cambria Math" w:eastAsiaTheme="minorEastAsia" w:hAnsi="Cambria Math" w:cs="Arial"/>
                <w:sz w:val="21"/>
                <w:szCs w:val="21"/>
                <w:shd w:val="clear" w:color="auto" w:fill="FFFFFF"/>
                <w:lang w:val="en-US"/>
              </w:rPr>
              <m:t>f</m:t>
            </m:r>
          </m:sub>
        </m:sSub>
      </m:oMath>
      <w:r w:rsidRPr="0093035D">
        <w:rPr>
          <w:rFonts w:ascii="Arial" w:eastAsiaTheme="minorEastAsia" w:hAnsi="Arial" w:cs="Arial"/>
          <w:sz w:val="21"/>
          <w:szCs w:val="21"/>
          <w:shd w:val="clear" w:color="auto" w:fill="FFFFFF"/>
          <w:vertAlign w:val="subscript"/>
          <w:lang w:val="en-US"/>
        </w:rPr>
        <w:t xml:space="preserve"> </w:t>
      </w:r>
      <w:r w:rsidRPr="0093035D">
        <w:rPr>
          <w:rFonts w:ascii="Arial" w:eastAsiaTheme="minorEastAsia" w:hAnsi="Arial" w:cs="Arial"/>
          <w:sz w:val="21"/>
          <w:szCs w:val="21"/>
          <w:shd w:val="clear" w:color="auto" w:fill="FFFFFF"/>
          <w:lang w:val="en-US"/>
        </w:rPr>
        <w:t>– frontal area of the vehicle,</w:t>
      </w:r>
      <w:r w:rsidRPr="00153BDF">
        <w:rPr>
          <w:rFonts w:ascii="Arial" w:eastAsiaTheme="minorEastAsia" w:hAnsi="Arial" w:cs="Arial"/>
          <w:sz w:val="21"/>
          <w:szCs w:val="21"/>
          <w:shd w:val="clear" w:color="auto" w:fill="FFFFFF"/>
          <w:lang w:val="en-US"/>
        </w:rPr>
        <w:t xml:space="preserve"> </w:t>
      </w:r>
      <w:r>
        <w:rPr>
          <w:rFonts w:ascii="Arial" w:eastAsiaTheme="minorEastAsia" w:hAnsi="Arial" w:cs="Arial"/>
          <w:sz w:val="21"/>
          <w:szCs w:val="21"/>
          <w:shd w:val="clear" w:color="auto" w:fill="FFFFFF"/>
          <w:lang w:val="en-US"/>
        </w:rPr>
        <w:t>[m</w:t>
      </w:r>
      <w:r w:rsidRPr="00153BDF">
        <w:rPr>
          <w:rFonts w:ascii="Arial" w:eastAsiaTheme="minorEastAsia" w:hAnsi="Arial" w:cs="Arial"/>
          <w:sz w:val="21"/>
          <w:szCs w:val="21"/>
          <w:shd w:val="clear" w:color="auto" w:fill="FFFFFF"/>
          <w:vertAlign w:val="superscript"/>
          <w:lang w:val="en-US"/>
        </w:rPr>
        <w:t>2</w:t>
      </w:r>
      <w:r>
        <w:rPr>
          <w:rFonts w:ascii="Arial" w:eastAsiaTheme="minorEastAsia" w:hAnsi="Arial" w:cs="Arial"/>
          <w:sz w:val="21"/>
          <w:szCs w:val="21"/>
          <w:shd w:val="clear" w:color="auto" w:fill="FFFFFF"/>
          <w:lang w:val="en-US"/>
        </w:rPr>
        <w:t>];</w:t>
      </w:r>
      <w:r w:rsidRPr="0093035D">
        <w:rPr>
          <w:rFonts w:ascii="Arial" w:eastAsiaTheme="minorEastAsia" w:hAnsi="Arial" w:cs="Arial"/>
          <w:sz w:val="21"/>
          <w:szCs w:val="21"/>
          <w:shd w:val="clear" w:color="auto" w:fill="FFFFFF"/>
          <w:lang w:val="en-US"/>
        </w:rPr>
        <w:t xml:space="preserve"> </w:t>
      </w:r>
      <m:oMath>
        <m:r>
          <m:rPr>
            <m:sty m:val="p"/>
          </m:rPr>
          <w:rPr>
            <w:rFonts w:ascii="Cambria Math" w:eastAsiaTheme="minorEastAsia" w:hAnsi="Cambria Math" w:cs="Arial"/>
            <w:sz w:val="21"/>
            <w:szCs w:val="21"/>
            <w:shd w:val="clear" w:color="auto" w:fill="FFFFFF"/>
            <w:lang w:val="en-US"/>
          </w:rPr>
          <w:sym w:font="Symbol" w:char="F072"/>
        </m:r>
      </m:oMath>
      <w:r w:rsidRPr="0093035D">
        <w:rPr>
          <w:rFonts w:ascii="Arial" w:eastAsiaTheme="minorEastAsia" w:hAnsi="Arial" w:cs="Arial"/>
          <w:sz w:val="21"/>
          <w:szCs w:val="21"/>
          <w:shd w:val="clear" w:color="auto" w:fill="FFFFFF"/>
          <w:lang w:val="en-US"/>
        </w:rPr>
        <w:t xml:space="preserve"> - mass density of the air,</w:t>
      </w:r>
      <w:r w:rsidRPr="00153BDF">
        <w:rPr>
          <w:rFonts w:ascii="Arial" w:eastAsiaTheme="minorEastAsia" w:hAnsi="Arial" w:cs="Arial"/>
          <w:sz w:val="21"/>
          <w:szCs w:val="21"/>
          <w:shd w:val="clear" w:color="auto" w:fill="FFFFFF"/>
          <w:lang w:val="en-US"/>
        </w:rPr>
        <w:t xml:space="preserve"> </w:t>
      </w:r>
      <w:r>
        <w:rPr>
          <w:rFonts w:ascii="Arial" w:eastAsiaTheme="minorEastAsia" w:hAnsi="Arial" w:cs="Arial"/>
          <w:sz w:val="21"/>
          <w:szCs w:val="21"/>
          <w:shd w:val="clear" w:color="auto" w:fill="FFFFFF"/>
          <w:lang w:val="en-US"/>
        </w:rPr>
        <w:t>[kg/m</w:t>
      </w:r>
      <w:r w:rsidRPr="00153BDF">
        <w:rPr>
          <w:rFonts w:ascii="Arial" w:eastAsiaTheme="minorEastAsia" w:hAnsi="Arial" w:cs="Arial"/>
          <w:sz w:val="21"/>
          <w:szCs w:val="21"/>
          <w:shd w:val="clear" w:color="auto" w:fill="FFFFFF"/>
          <w:vertAlign w:val="superscript"/>
          <w:lang w:val="en-US"/>
        </w:rPr>
        <w:t>3</w:t>
      </w:r>
      <w:r>
        <w:rPr>
          <w:rFonts w:ascii="Arial" w:eastAsiaTheme="minorEastAsia" w:hAnsi="Arial" w:cs="Arial"/>
          <w:sz w:val="21"/>
          <w:szCs w:val="21"/>
          <w:shd w:val="clear" w:color="auto" w:fill="FFFFFF"/>
          <w:lang w:val="en-US"/>
        </w:rPr>
        <w:t>];</w:t>
      </w:r>
      <w:r w:rsidRPr="0093035D">
        <w:rPr>
          <w:rFonts w:ascii="Arial" w:eastAsiaTheme="minorEastAsia" w:hAnsi="Arial" w:cs="Arial"/>
          <w:sz w:val="21"/>
          <w:szCs w:val="21"/>
          <w:shd w:val="clear" w:color="auto" w:fill="FFFFFF"/>
          <w:lang w:val="en-US"/>
        </w:rPr>
        <w:t xml:space="preserve"> </w:t>
      </w:r>
      <m:oMath>
        <m:sSub>
          <m:sSubPr>
            <m:ctrlPr>
              <w:rPr>
                <w:rFonts w:ascii="Cambria Math" w:hAnsi="Cambria Math" w:cs="Arial"/>
                <w:sz w:val="21"/>
                <w:szCs w:val="21"/>
                <w:shd w:val="clear" w:color="auto" w:fill="FFFFFF"/>
                <w:lang w:val="en-US"/>
              </w:rPr>
            </m:ctrlPr>
          </m:sSubPr>
          <m:e>
            <m:r>
              <w:rPr>
                <w:rFonts w:ascii="Cambria Math" w:eastAsiaTheme="minorEastAsia" w:hAnsi="Cambria Math" w:cs="Arial"/>
                <w:sz w:val="21"/>
                <w:szCs w:val="21"/>
                <w:shd w:val="clear" w:color="auto" w:fill="FFFFFF"/>
                <w:lang w:val="en-US"/>
              </w:rPr>
              <m:t>f</m:t>
            </m:r>
            <m:ctrlPr>
              <w:rPr>
                <w:rFonts w:ascii="Cambria Math" w:eastAsiaTheme="minorEastAsia" w:hAnsi="Cambria Math" w:cs="Arial"/>
                <w:i/>
                <w:sz w:val="21"/>
                <w:szCs w:val="21"/>
                <w:shd w:val="clear" w:color="auto" w:fill="FFFFFF"/>
                <w:lang w:val="en-US"/>
              </w:rPr>
            </m:ctrlPr>
          </m:e>
          <m:sub>
            <m:r>
              <m:rPr>
                <m:sty m:val="p"/>
              </m:rPr>
              <w:rPr>
                <w:rFonts w:ascii="Cambria Math" w:hAnsi="Cambria Math" w:cs="Arial"/>
                <w:sz w:val="21"/>
                <w:szCs w:val="21"/>
                <w:shd w:val="clear" w:color="auto" w:fill="FFFFFF"/>
                <w:lang w:val="en-US"/>
              </w:rPr>
              <m:t>r</m:t>
            </m:r>
          </m:sub>
        </m:sSub>
      </m:oMath>
      <w:r w:rsidRPr="0093035D">
        <w:rPr>
          <w:rFonts w:ascii="Arial" w:eastAsiaTheme="minorEastAsia" w:hAnsi="Arial" w:cs="Arial"/>
          <w:sz w:val="21"/>
          <w:szCs w:val="21"/>
          <w:shd w:val="clear" w:color="auto" w:fill="FFFFFF"/>
          <w:lang w:val="en-US"/>
        </w:rPr>
        <w:t xml:space="preserve"> – </w:t>
      </w:r>
      <w:r>
        <w:rPr>
          <w:rFonts w:ascii="Arial" w:eastAsiaTheme="minorEastAsia" w:hAnsi="Arial" w:cs="Arial"/>
          <w:sz w:val="21"/>
          <w:szCs w:val="21"/>
          <w:shd w:val="clear" w:color="auto" w:fill="FFFFFF"/>
          <w:lang w:val="en-US"/>
        </w:rPr>
        <w:t>tire rolling</w:t>
      </w:r>
      <w:r w:rsidRPr="0093035D">
        <w:rPr>
          <w:rFonts w:ascii="Arial" w:eastAsiaTheme="minorEastAsia" w:hAnsi="Arial" w:cs="Arial"/>
          <w:sz w:val="21"/>
          <w:szCs w:val="21"/>
          <w:shd w:val="clear" w:color="auto" w:fill="FFFFFF"/>
          <w:lang w:val="en-US"/>
        </w:rPr>
        <w:t xml:space="preserve"> </w:t>
      </w:r>
      <w:r>
        <w:rPr>
          <w:rFonts w:ascii="Arial" w:eastAsiaTheme="minorEastAsia" w:hAnsi="Arial" w:cs="Arial"/>
          <w:sz w:val="21"/>
          <w:szCs w:val="21"/>
          <w:shd w:val="clear" w:color="auto" w:fill="FFFFFF"/>
          <w:lang w:val="en-US"/>
        </w:rPr>
        <w:t xml:space="preserve">resistance </w:t>
      </w:r>
      <w:r w:rsidRPr="0093035D">
        <w:rPr>
          <w:rFonts w:ascii="Arial" w:eastAsiaTheme="minorEastAsia" w:hAnsi="Arial" w:cs="Arial"/>
          <w:sz w:val="21"/>
          <w:szCs w:val="21"/>
          <w:shd w:val="clear" w:color="auto" w:fill="FFFFFF"/>
          <w:lang w:val="en-US"/>
        </w:rPr>
        <w:t xml:space="preserve">coefficient. </w:t>
      </w:r>
    </w:p>
    <w:p w:rsidR="00967FCD" w:rsidRPr="0093035D" w:rsidRDefault="00967FCD" w:rsidP="00967FCD">
      <w:pPr>
        <w:pStyle w:val="Default"/>
        <w:jc w:val="both"/>
        <w:rPr>
          <w:rFonts w:ascii="Arial" w:eastAsiaTheme="minorEastAsia" w:hAnsi="Arial" w:cs="Arial"/>
          <w:sz w:val="21"/>
          <w:szCs w:val="21"/>
          <w:shd w:val="clear" w:color="auto" w:fill="FFFFFF"/>
          <w:lang w:val="en-US"/>
        </w:rPr>
      </w:pPr>
      <w:r>
        <w:rPr>
          <w:rFonts w:ascii="Arial" w:eastAsiaTheme="minorEastAsia" w:hAnsi="Arial" w:cs="Arial"/>
          <w:sz w:val="21"/>
          <w:szCs w:val="21"/>
          <w:shd w:val="clear" w:color="auto" w:fill="FFFFFF"/>
          <w:lang w:val="en-US"/>
        </w:rPr>
        <w:t>As Fig.1 depicts</w:t>
      </w:r>
      <w:r w:rsidRPr="0093035D">
        <w:rPr>
          <w:rFonts w:ascii="Arial" w:eastAsiaTheme="minorEastAsia" w:hAnsi="Arial" w:cs="Arial"/>
          <w:sz w:val="21"/>
          <w:szCs w:val="21"/>
          <w:shd w:val="clear" w:color="auto" w:fill="FFFFFF"/>
          <w:lang w:val="en-US"/>
        </w:rPr>
        <w:t xml:space="preserve">, the average energy consumed by vehicles driving on </w:t>
      </w:r>
      <w:r>
        <w:rPr>
          <w:rFonts w:ascii="Arial" w:eastAsiaTheme="minorEastAsia" w:hAnsi="Arial" w:cs="Arial"/>
          <w:sz w:val="21"/>
          <w:szCs w:val="21"/>
          <w:shd w:val="clear" w:color="auto" w:fill="FFFFFF"/>
          <w:lang w:val="en-US"/>
        </w:rPr>
        <w:t>different</w:t>
      </w:r>
      <w:r w:rsidRPr="0093035D">
        <w:rPr>
          <w:rFonts w:ascii="Arial" w:eastAsiaTheme="minorEastAsia" w:hAnsi="Arial" w:cs="Arial"/>
          <w:sz w:val="21"/>
          <w:szCs w:val="21"/>
          <w:shd w:val="clear" w:color="auto" w:fill="FFFFFF"/>
          <w:lang w:val="en-US"/>
        </w:rPr>
        <w:t xml:space="preserve"> type of fuel</w:t>
      </w:r>
      <w:r>
        <w:rPr>
          <w:rFonts w:ascii="Arial" w:eastAsiaTheme="minorEastAsia" w:hAnsi="Arial" w:cs="Arial"/>
          <w:sz w:val="21"/>
          <w:szCs w:val="21"/>
          <w:shd w:val="clear" w:color="auto" w:fill="FFFFFF"/>
          <w:lang w:val="en-US"/>
        </w:rPr>
        <w:t xml:space="preserve"> are</w:t>
      </w:r>
      <w:r w:rsidRPr="0093035D">
        <w:rPr>
          <w:rFonts w:ascii="Arial" w:eastAsiaTheme="minorEastAsia" w:hAnsi="Arial" w:cs="Arial"/>
          <w:sz w:val="21"/>
          <w:szCs w:val="21"/>
          <w:shd w:val="clear" w:color="auto" w:fill="FFFFFF"/>
          <w:lang w:val="en-US"/>
        </w:rPr>
        <w:t xml:space="preserve">: </w:t>
      </w:r>
      <w:r>
        <w:rPr>
          <w:rFonts w:ascii="Arial" w:eastAsiaTheme="minorEastAsia" w:hAnsi="Arial" w:cs="Arial"/>
          <w:sz w:val="21"/>
          <w:szCs w:val="21"/>
          <w:shd w:val="clear" w:color="auto" w:fill="FFFFFF"/>
          <w:lang w:val="en-US"/>
        </w:rPr>
        <w:t xml:space="preserve">for a </w:t>
      </w:r>
      <w:r w:rsidRPr="0093035D">
        <w:rPr>
          <w:rFonts w:ascii="Arial" w:eastAsiaTheme="minorEastAsia" w:hAnsi="Arial" w:cs="Arial"/>
          <w:sz w:val="21"/>
          <w:szCs w:val="21"/>
          <w:shd w:val="clear" w:color="auto" w:fill="FFFFFF"/>
          <w:lang w:val="en-US"/>
        </w:rPr>
        <w:t xml:space="preserve">petrol engine – 56.5 kWh/100km, </w:t>
      </w:r>
      <w:r>
        <w:rPr>
          <w:rFonts w:ascii="Arial" w:eastAsiaTheme="minorEastAsia" w:hAnsi="Arial" w:cs="Arial"/>
          <w:sz w:val="21"/>
          <w:szCs w:val="21"/>
          <w:shd w:val="clear" w:color="auto" w:fill="FFFFFF"/>
          <w:lang w:val="en-US"/>
        </w:rPr>
        <w:t xml:space="preserve">a </w:t>
      </w:r>
      <w:r w:rsidRPr="0093035D">
        <w:rPr>
          <w:rFonts w:ascii="Arial" w:eastAsiaTheme="minorEastAsia" w:hAnsi="Arial" w:cs="Arial"/>
          <w:sz w:val="21"/>
          <w:szCs w:val="21"/>
          <w:shd w:val="clear" w:color="auto" w:fill="FFFFFF"/>
          <w:lang w:val="en-US"/>
        </w:rPr>
        <w:t xml:space="preserve">diesel engine – 50.1kWh/100km, </w:t>
      </w:r>
      <w:r>
        <w:rPr>
          <w:rFonts w:ascii="Arial" w:eastAsiaTheme="minorEastAsia" w:hAnsi="Arial" w:cs="Arial"/>
          <w:sz w:val="21"/>
          <w:szCs w:val="21"/>
          <w:shd w:val="clear" w:color="auto" w:fill="FFFFFF"/>
          <w:lang w:val="en-US"/>
        </w:rPr>
        <w:t xml:space="preserve">a </w:t>
      </w:r>
      <w:r w:rsidRPr="0093035D">
        <w:rPr>
          <w:rFonts w:ascii="Arial" w:eastAsiaTheme="minorEastAsia" w:hAnsi="Arial" w:cs="Arial"/>
          <w:sz w:val="21"/>
          <w:szCs w:val="21"/>
          <w:shd w:val="clear" w:color="auto" w:fill="FFFFFF"/>
          <w:lang w:val="en-US"/>
        </w:rPr>
        <w:t>hybrid – 35 kWh/100km,</w:t>
      </w:r>
      <w:r>
        <w:rPr>
          <w:rFonts w:ascii="Arial" w:eastAsiaTheme="minorEastAsia" w:hAnsi="Arial" w:cs="Arial"/>
          <w:sz w:val="21"/>
          <w:szCs w:val="21"/>
          <w:shd w:val="clear" w:color="auto" w:fill="FFFFFF"/>
          <w:lang w:val="en-US"/>
        </w:rPr>
        <w:t xml:space="preserve"> </w:t>
      </w:r>
      <w:r w:rsidRPr="0093035D">
        <w:rPr>
          <w:rFonts w:ascii="Arial" w:eastAsiaTheme="minorEastAsia" w:hAnsi="Arial" w:cs="Arial"/>
          <w:sz w:val="21"/>
          <w:szCs w:val="21"/>
          <w:shd w:val="clear" w:color="auto" w:fill="FFFFFF"/>
          <w:lang w:val="en-US"/>
        </w:rPr>
        <w:t xml:space="preserve">full electric – 17.3 kWh/100km and natural gas – 43.5 kWh/100km. The </w:t>
      </w:r>
      <w:r>
        <w:rPr>
          <w:rFonts w:ascii="Arial" w:eastAsiaTheme="minorEastAsia" w:hAnsi="Arial" w:cs="Arial"/>
          <w:sz w:val="21"/>
          <w:szCs w:val="21"/>
          <w:shd w:val="clear" w:color="auto" w:fill="FFFFFF"/>
          <w:lang w:val="en-US"/>
        </w:rPr>
        <w:t xml:space="preserve">average </w:t>
      </w:r>
      <w:r w:rsidRPr="0093035D">
        <w:rPr>
          <w:rFonts w:ascii="Arial" w:eastAsiaTheme="minorEastAsia" w:hAnsi="Arial" w:cs="Arial"/>
          <w:sz w:val="21"/>
          <w:szCs w:val="21"/>
          <w:shd w:val="clear" w:color="auto" w:fill="FFFFFF"/>
          <w:lang w:val="en-US"/>
        </w:rPr>
        <w:t xml:space="preserve">energy </w:t>
      </w:r>
      <w:r>
        <w:rPr>
          <w:rFonts w:ascii="Arial" w:eastAsiaTheme="minorEastAsia" w:hAnsi="Arial" w:cs="Arial"/>
          <w:sz w:val="21"/>
          <w:szCs w:val="21"/>
          <w:shd w:val="clear" w:color="auto" w:fill="FFFFFF"/>
          <w:lang w:val="en-US"/>
        </w:rPr>
        <w:t xml:space="preserve">needed to run </w:t>
      </w:r>
      <w:r w:rsidRPr="0093035D">
        <w:rPr>
          <w:rFonts w:ascii="Arial" w:eastAsiaTheme="minorEastAsia" w:hAnsi="Arial" w:cs="Arial"/>
          <w:sz w:val="21"/>
          <w:szCs w:val="21"/>
          <w:shd w:val="clear" w:color="auto" w:fill="FFFFFF"/>
          <w:lang w:val="en-US"/>
        </w:rPr>
        <w:t xml:space="preserve">the vehicle </w:t>
      </w:r>
      <w:r>
        <w:rPr>
          <w:rFonts w:ascii="Arial" w:eastAsiaTheme="minorEastAsia" w:hAnsi="Arial" w:cs="Arial"/>
          <w:sz w:val="21"/>
          <w:szCs w:val="21"/>
          <w:shd w:val="clear" w:color="auto" w:fill="FFFFFF"/>
          <w:lang w:val="en-US"/>
        </w:rPr>
        <w:t xml:space="preserve">on the NEDC for the given average mass </w:t>
      </w:r>
      <m:oMath>
        <m:sSub>
          <m:sSubPr>
            <m:ctrlPr>
              <w:rPr>
                <w:rFonts w:ascii="Cambria Math" w:hAnsi="Cambria Math" w:cs="Arial"/>
                <w:sz w:val="21"/>
                <w:szCs w:val="21"/>
                <w:shd w:val="clear" w:color="auto" w:fill="FFFFFF"/>
                <w:lang w:val="en-US"/>
              </w:rPr>
            </m:ctrlPr>
          </m:sSubPr>
          <m:e>
            <m:r>
              <m:rPr>
                <m:sty m:val="p"/>
              </m:rPr>
              <w:rPr>
                <w:rFonts w:ascii="Cambria Math" w:hAnsi="Cambria Math" w:cs="Arial"/>
                <w:sz w:val="21"/>
                <w:szCs w:val="21"/>
                <w:shd w:val="clear" w:color="auto" w:fill="FFFFFF"/>
                <w:lang w:val="en-US"/>
              </w:rPr>
              <m:t>M</m:t>
            </m:r>
          </m:e>
          <m:sub>
            <m:r>
              <m:rPr>
                <m:sty m:val="p"/>
              </m:rPr>
              <w:rPr>
                <w:rFonts w:ascii="Cambria Math" w:hAnsi="Cambria Math" w:cs="Arial"/>
                <w:sz w:val="21"/>
                <w:szCs w:val="21"/>
                <w:shd w:val="clear" w:color="auto" w:fill="FFFFFF"/>
                <w:lang w:val="en-US"/>
              </w:rPr>
              <m:t>avg</m:t>
            </m:r>
          </m:sub>
        </m:sSub>
      </m:oMath>
      <w:r>
        <w:rPr>
          <w:rFonts w:ascii="Arial" w:eastAsiaTheme="minorEastAsia" w:hAnsi="Arial" w:cs="Arial"/>
          <w:sz w:val="21"/>
          <w:szCs w:val="21"/>
          <w:shd w:val="clear" w:color="auto" w:fill="FFFFFF"/>
          <w:lang w:val="en-US"/>
        </w:rPr>
        <w:t xml:space="preserve"> of the vehicle are</w:t>
      </w:r>
      <w:r w:rsidRPr="0093035D">
        <w:rPr>
          <w:rFonts w:ascii="Arial" w:eastAsiaTheme="minorEastAsia" w:hAnsi="Arial" w:cs="Arial"/>
          <w:sz w:val="21"/>
          <w:szCs w:val="21"/>
          <w:shd w:val="clear" w:color="auto" w:fill="FFFFFF"/>
          <w:lang w:val="en-US"/>
        </w:rPr>
        <w:t xml:space="preserve"> equal to: petrol engine – 9.9 kWh/100km, diesel engine – 10.68 kWh/100km, hybrid – 12.28 kWh/100km, full electric – 10.5 kWh/100km and natural gas – 9.2 kWh/100km. The </w:t>
      </w:r>
      <w:r>
        <w:rPr>
          <w:rFonts w:ascii="Arial" w:eastAsiaTheme="minorEastAsia" w:hAnsi="Arial" w:cs="Arial"/>
          <w:sz w:val="21"/>
          <w:szCs w:val="21"/>
          <w:shd w:val="clear" w:color="auto" w:fill="FFFFFF"/>
          <w:lang w:val="en-US"/>
        </w:rPr>
        <w:t xml:space="preserve">average TTW </w:t>
      </w:r>
      <w:r w:rsidRPr="0093035D">
        <w:rPr>
          <w:rFonts w:ascii="Arial" w:eastAsiaTheme="minorEastAsia" w:hAnsi="Arial" w:cs="Arial"/>
          <w:sz w:val="21"/>
          <w:szCs w:val="21"/>
          <w:shd w:val="clear" w:color="auto" w:fill="FFFFFF"/>
          <w:lang w:val="en-US"/>
        </w:rPr>
        <w:t xml:space="preserve">efficiency is determined by the ratio of </w:t>
      </w:r>
      <w:r>
        <w:rPr>
          <w:rFonts w:ascii="Arial" w:eastAsiaTheme="minorEastAsia" w:hAnsi="Arial" w:cs="Arial"/>
          <w:sz w:val="21"/>
          <w:szCs w:val="21"/>
          <w:shd w:val="clear" w:color="auto" w:fill="FFFFFF"/>
          <w:lang w:val="en-US"/>
        </w:rPr>
        <w:t xml:space="preserve">average energy required to </w:t>
      </w:r>
      <w:r w:rsidRPr="0093035D">
        <w:rPr>
          <w:rFonts w:ascii="Arial" w:eastAsiaTheme="minorEastAsia" w:hAnsi="Arial" w:cs="Arial"/>
          <w:sz w:val="21"/>
          <w:szCs w:val="21"/>
          <w:shd w:val="clear" w:color="auto" w:fill="FFFFFF"/>
          <w:lang w:val="en-US"/>
        </w:rPr>
        <w:t>total energy consum</w:t>
      </w:r>
      <w:r>
        <w:rPr>
          <w:rFonts w:ascii="Arial" w:eastAsiaTheme="minorEastAsia" w:hAnsi="Arial" w:cs="Arial"/>
          <w:sz w:val="21"/>
          <w:szCs w:val="21"/>
          <w:shd w:val="clear" w:color="auto" w:fill="FFFFFF"/>
          <w:lang w:val="en-US"/>
        </w:rPr>
        <w:t xml:space="preserve">ed. The results for the average efficiencies for different fuel types are shown in </w:t>
      </w:r>
      <w:r w:rsidRPr="0093035D">
        <w:rPr>
          <w:rFonts w:ascii="Arial" w:eastAsiaTheme="minorEastAsia" w:hAnsi="Arial" w:cs="Arial"/>
          <w:sz w:val="21"/>
          <w:szCs w:val="21"/>
          <w:shd w:val="clear" w:color="auto" w:fill="FFFFFF"/>
          <w:lang w:val="en-US"/>
        </w:rPr>
        <w:t>Fig.2.</w:t>
      </w:r>
    </w:p>
    <w:p w:rsidR="00967FCD" w:rsidRPr="0093035D" w:rsidRDefault="00967FCD" w:rsidP="00967FCD">
      <w:pPr>
        <w:pStyle w:val="Default"/>
        <w:jc w:val="both"/>
        <w:rPr>
          <w:rFonts w:ascii="Arial" w:eastAsiaTheme="minorEastAsia" w:hAnsi="Arial" w:cs="Arial"/>
          <w:sz w:val="22"/>
          <w:szCs w:val="22"/>
          <w:highlight w:val="yellow"/>
          <w:shd w:val="clear" w:color="auto" w:fill="FFFFFF"/>
          <w:lang w:val="en-US"/>
        </w:rPr>
      </w:pPr>
    </w:p>
    <w:p w:rsidR="00967FCD" w:rsidRPr="0093035D" w:rsidRDefault="00967FCD" w:rsidP="00967FCD">
      <w:pPr>
        <w:pStyle w:val="Default"/>
        <w:jc w:val="both"/>
        <w:rPr>
          <w:rFonts w:ascii="Arial" w:hAnsi="Arial" w:cs="Arial"/>
          <w:sz w:val="21"/>
          <w:szCs w:val="21"/>
          <w:shd w:val="clear" w:color="auto" w:fill="FFFFFF"/>
          <w:lang w:val="en-US"/>
        </w:rPr>
      </w:pPr>
      <w:r w:rsidRPr="0093035D">
        <w:rPr>
          <w:rFonts w:ascii="Arial" w:hAnsi="Arial" w:cs="Arial"/>
          <w:b/>
          <w:sz w:val="21"/>
          <w:szCs w:val="21"/>
          <w:lang w:val="en-US"/>
        </w:rPr>
        <w:t>Results:</w:t>
      </w:r>
      <w:r w:rsidRPr="0093035D">
        <w:rPr>
          <w:rFonts w:ascii="Arial" w:hAnsi="Arial" w:cs="Arial"/>
          <w:sz w:val="21"/>
          <w:szCs w:val="21"/>
          <w:shd w:val="clear" w:color="auto" w:fill="FFFFFF"/>
          <w:lang w:val="en-US"/>
        </w:rPr>
        <w:t xml:space="preserve"> </w:t>
      </w:r>
    </w:p>
    <w:p w:rsidR="00967FCD" w:rsidRDefault="00967FCD" w:rsidP="00967FCD">
      <w:pPr>
        <w:pStyle w:val="Default"/>
        <w:jc w:val="both"/>
        <w:rPr>
          <w:rFonts w:ascii="Arial" w:hAnsi="Arial" w:cs="Arial"/>
          <w:sz w:val="21"/>
          <w:szCs w:val="21"/>
          <w:shd w:val="clear" w:color="auto" w:fill="FFFFFF"/>
          <w:lang w:val="en-US"/>
        </w:rPr>
      </w:pPr>
      <w:r w:rsidRPr="0093035D">
        <w:rPr>
          <w:rFonts w:ascii="Arial" w:hAnsi="Arial" w:cs="Arial"/>
          <w:sz w:val="21"/>
          <w:szCs w:val="21"/>
          <w:shd w:val="clear" w:color="auto" w:fill="FFFFFF"/>
          <w:lang w:val="en-US"/>
        </w:rPr>
        <w:t>As can be seen from the Fig.1,</w:t>
      </w:r>
      <w:r>
        <w:rPr>
          <w:rFonts w:ascii="Arial" w:hAnsi="Arial" w:cs="Arial"/>
          <w:sz w:val="21"/>
          <w:szCs w:val="21"/>
          <w:shd w:val="clear" w:color="auto" w:fill="FFFFFF"/>
          <w:lang w:val="en-US"/>
        </w:rPr>
        <w:t xml:space="preserve"> the consumed </w:t>
      </w:r>
      <w:r w:rsidRPr="0093035D">
        <w:rPr>
          <w:rFonts w:ascii="Arial" w:hAnsi="Arial" w:cs="Arial"/>
          <w:sz w:val="21"/>
          <w:szCs w:val="21"/>
          <w:shd w:val="clear" w:color="auto" w:fill="FFFFFF"/>
          <w:lang w:val="en-US"/>
        </w:rPr>
        <w:t xml:space="preserve">energy increases with increasing </w:t>
      </w:r>
      <w:r>
        <w:rPr>
          <w:rFonts w:ascii="Arial" w:hAnsi="Arial" w:cs="Arial"/>
          <w:sz w:val="21"/>
          <w:szCs w:val="21"/>
          <w:shd w:val="clear" w:color="auto" w:fill="FFFFFF"/>
          <w:lang w:val="en-US"/>
        </w:rPr>
        <w:t xml:space="preserve">the vehicle </w:t>
      </w:r>
      <w:r w:rsidRPr="0093035D">
        <w:rPr>
          <w:rFonts w:ascii="Arial" w:hAnsi="Arial" w:cs="Arial"/>
          <w:sz w:val="21"/>
          <w:szCs w:val="21"/>
          <w:shd w:val="clear" w:color="auto" w:fill="FFFFFF"/>
          <w:lang w:val="en-US"/>
        </w:rPr>
        <w:t xml:space="preserve">mass. </w:t>
      </w:r>
      <w:r>
        <w:rPr>
          <w:rFonts w:ascii="Arial" w:hAnsi="Arial" w:cs="Arial"/>
          <w:sz w:val="21"/>
          <w:szCs w:val="21"/>
          <w:shd w:val="clear" w:color="auto" w:fill="FFFFFF"/>
          <w:lang w:val="en-US"/>
        </w:rPr>
        <w:t>The Fig</w:t>
      </w:r>
      <w:r w:rsidRPr="0093035D">
        <w:rPr>
          <w:rFonts w:ascii="Arial" w:hAnsi="Arial" w:cs="Arial"/>
          <w:sz w:val="21"/>
          <w:szCs w:val="21"/>
          <w:shd w:val="clear" w:color="auto" w:fill="FFFFFF"/>
          <w:lang w:val="en-US"/>
        </w:rPr>
        <w:t xml:space="preserve">.2 shows that </w:t>
      </w:r>
      <w:r>
        <w:rPr>
          <w:rFonts w:ascii="Arial" w:hAnsi="Arial" w:cs="Arial"/>
          <w:sz w:val="21"/>
          <w:szCs w:val="21"/>
          <w:shd w:val="clear" w:color="auto" w:fill="FFFFFF"/>
          <w:lang w:val="en-US"/>
        </w:rPr>
        <w:t xml:space="preserve">the </w:t>
      </w:r>
      <w:r w:rsidRPr="0093035D">
        <w:rPr>
          <w:rFonts w:ascii="Arial" w:hAnsi="Arial" w:cs="Arial"/>
          <w:sz w:val="21"/>
          <w:szCs w:val="21"/>
          <w:shd w:val="clear" w:color="auto" w:fill="FFFFFF"/>
          <w:lang w:val="en-US"/>
        </w:rPr>
        <w:t xml:space="preserve">full electric vehicle </w:t>
      </w:r>
      <w:r>
        <w:rPr>
          <w:rFonts w:ascii="Arial" w:hAnsi="Arial" w:cs="Arial"/>
          <w:sz w:val="21"/>
          <w:szCs w:val="21"/>
          <w:shd w:val="clear" w:color="auto" w:fill="FFFFFF"/>
          <w:lang w:val="en-US"/>
        </w:rPr>
        <w:t>has the highest TTW efficiency reaching almost 60%</w:t>
      </w:r>
      <w:r w:rsidRPr="0093035D">
        <w:rPr>
          <w:rFonts w:ascii="Arial" w:hAnsi="Arial" w:cs="Arial"/>
          <w:sz w:val="21"/>
          <w:szCs w:val="21"/>
          <w:shd w:val="clear" w:color="auto" w:fill="FFFFFF"/>
          <w:lang w:val="en-US"/>
        </w:rPr>
        <w:t>.</w:t>
      </w:r>
      <w:r>
        <w:rPr>
          <w:rFonts w:ascii="Arial" w:hAnsi="Arial" w:cs="Arial"/>
          <w:sz w:val="21"/>
          <w:szCs w:val="21"/>
          <w:shd w:val="clear" w:color="auto" w:fill="FFFFFF"/>
          <w:lang w:val="en-US"/>
        </w:rPr>
        <w:t xml:space="preserve"> This could be due to high conversion efficiency of the electric motor (around 90%) and less number of elements in the drivetrain path. The hybridization allows around 15% efficiency improvement over the vehicles with conventional powertrains. </w:t>
      </w:r>
    </w:p>
    <w:p w:rsidR="00967FCD" w:rsidRPr="0093035D" w:rsidRDefault="00967FCD" w:rsidP="00967FCD">
      <w:pPr>
        <w:pStyle w:val="Default"/>
        <w:jc w:val="both"/>
        <w:rPr>
          <w:rFonts w:ascii="Arial" w:hAnsi="Arial" w:cs="Arial"/>
          <w:sz w:val="21"/>
          <w:szCs w:val="21"/>
          <w:highlight w:val="yellow"/>
          <w:shd w:val="clear" w:color="auto" w:fill="FFFFFF"/>
          <w:lang w:val="en-US"/>
        </w:rPr>
      </w:pPr>
    </w:p>
    <w:p w:rsidR="00967FCD" w:rsidRPr="0093035D" w:rsidRDefault="00967FCD" w:rsidP="00967FCD">
      <w:pPr>
        <w:pStyle w:val="Default"/>
        <w:jc w:val="center"/>
        <w:rPr>
          <w:rFonts w:ascii="Arial" w:hAnsi="Arial" w:cs="Arial"/>
          <w:b/>
          <w:sz w:val="21"/>
          <w:szCs w:val="21"/>
          <w:lang w:val="en-US"/>
        </w:rPr>
      </w:pPr>
      <w:r w:rsidRPr="0093035D">
        <w:rPr>
          <w:rFonts w:ascii="Arial" w:hAnsi="Arial" w:cs="Arial"/>
          <w:b/>
          <w:noProof/>
          <w:sz w:val="21"/>
          <w:szCs w:val="21"/>
          <w:lang w:val="en-US"/>
        </w:rPr>
        <w:drawing>
          <wp:inline distT="0" distB="0" distL="0" distR="0" wp14:anchorId="1C479C11" wp14:editId="023AF8C5">
            <wp:extent cx="3486150" cy="20936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8328" cy="2106942"/>
                    </a:xfrm>
                    <a:prstGeom prst="rect">
                      <a:avLst/>
                    </a:prstGeom>
                    <a:noFill/>
                  </pic:spPr>
                </pic:pic>
              </a:graphicData>
            </a:graphic>
          </wp:inline>
        </w:drawing>
      </w:r>
    </w:p>
    <w:p w:rsidR="00967FCD" w:rsidRPr="001E147D" w:rsidRDefault="00967FCD" w:rsidP="00967FCD">
      <w:pPr>
        <w:jc w:val="center"/>
        <w:rPr>
          <w:rFonts w:ascii="Arial" w:hAnsi="Arial" w:cs="Arial"/>
          <w:color w:val="000000"/>
          <w:sz w:val="21"/>
          <w:szCs w:val="21"/>
          <w:lang w:val="en-US"/>
        </w:rPr>
      </w:pPr>
      <w:r w:rsidRPr="001E147D">
        <w:rPr>
          <w:rFonts w:ascii="Arial" w:hAnsi="Arial" w:cs="Arial"/>
          <w:b/>
          <w:color w:val="000000"/>
          <w:sz w:val="21"/>
          <w:szCs w:val="21"/>
          <w:lang w:val="en-US"/>
        </w:rPr>
        <w:t>Fig.2:</w:t>
      </w:r>
      <w:r w:rsidRPr="001E147D">
        <w:rPr>
          <w:rFonts w:ascii="Arial" w:hAnsi="Arial" w:cs="Arial"/>
          <w:color w:val="000000"/>
          <w:sz w:val="21"/>
          <w:szCs w:val="21"/>
          <w:lang w:val="en-US"/>
        </w:rPr>
        <w:t xml:space="preserve"> Efficiency of the vehicles driving in the different fuel type</w:t>
      </w:r>
    </w:p>
    <w:p w:rsidR="00967FCD" w:rsidRPr="0093035D" w:rsidRDefault="00967FCD" w:rsidP="00967FCD">
      <w:pPr>
        <w:pStyle w:val="Default"/>
        <w:spacing w:line="276" w:lineRule="auto"/>
        <w:jc w:val="both"/>
        <w:rPr>
          <w:rFonts w:ascii="Arial" w:hAnsi="Arial" w:cs="Arial"/>
          <w:sz w:val="21"/>
          <w:szCs w:val="21"/>
          <w:lang w:val="en-US"/>
        </w:rPr>
      </w:pPr>
    </w:p>
    <w:p w:rsidR="00967FCD" w:rsidRPr="0093035D" w:rsidRDefault="00967FCD" w:rsidP="00967FCD">
      <w:pPr>
        <w:pStyle w:val="Default"/>
        <w:contextualSpacing/>
        <w:jc w:val="both"/>
        <w:rPr>
          <w:rFonts w:ascii="Arial" w:hAnsi="Arial" w:cs="Arial"/>
          <w:b/>
          <w:sz w:val="21"/>
          <w:szCs w:val="21"/>
          <w:lang w:val="en-US"/>
        </w:rPr>
      </w:pPr>
      <w:r w:rsidRPr="0093035D">
        <w:rPr>
          <w:rFonts w:ascii="Arial" w:hAnsi="Arial" w:cs="Arial"/>
          <w:b/>
          <w:sz w:val="21"/>
          <w:szCs w:val="21"/>
          <w:lang w:val="en-US"/>
        </w:rPr>
        <w:t xml:space="preserve">Discussion/Conclusion: </w:t>
      </w:r>
    </w:p>
    <w:p w:rsidR="00967FCD" w:rsidRPr="0093035D" w:rsidRDefault="00967FCD" w:rsidP="00967FCD">
      <w:pPr>
        <w:pStyle w:val="Default"/>
        <w:contextualSpacing/>
        <w:jc w:val="both"/>
        <w:rPr>
          <w:rFonts w:ascii="Arial" w:hAnsi="Arial" w:cs="Arial"/>
          <w:b/>
          <w:sz w:val="21"/>
          <w:szCs w:val="21"/>
          <w:highlight w:val="yellow"/>
          <w:lang w:val="en-US"/>
        </w:rPr>
      </w:pPr>
    </w:p>
    <w:p w:rsidR="00967FCD" w:rsidRDefault="00967FCD" w:rsidP="00967FCD">
      <w:pPr>
        <w:spacing w:after="0"/>
        <w:contextualSpacing/>
        <w:jc w:val="both"/>
        <w:rPr>
          <w:rFonts w:ascii="Arial" w:hAnsi="Arial" w:cs="Arial"/>
          <w:color w:val="000000"/>
          <w:sz w:val="21"/>
          <w:szCs w:val="21"/>
          <w:lang w:val="en-US"/>
        </w:rPr>
      </w:pPr>
      <w:r w:rsidRPr="0093035D">
        <w:rPr>
          <w:rFonts w:ascii="Arial" w:hAnsi="Arial" w:cs="Arial"/>
          <w:color w:val="000000"/>
          <w:sz w:val="21"/>
          <w:szCs w:val="21"/>
          <w:lang w:val="en-US"/>
        </w:rPr>
        <w:t xml:space="preserve">The average </w:t>
      </w:r>
      <w:r>
        <w:rPr>
          <w:rFonts w:ascii="Arial" w:hAnsi="Arial" w:cs="Arial"/>
          <w:color w:val="000000"/>
          <w:sz w:val="21"/>
          <w:szCs w:val="21"/>
          <w:lang w:val="en-US"/>
        </w:rPr>
        <w:t xml:space="preserve">TTW </w:t>
      </w:r>
      <w:r w:rsidRPr="0093035D">
        <w:rPr>
          <w:rFonts w:ascii="Arial" w:hAnsi="Arial" w:cs="Arial"/>
          <w:color w:val="000000"/>
          <w:sz w:val="21"/>
          <w:szCs w:val="21"/>
          <w:lang w:val="en-US"/>
        </w:rPr>
        <w:t>efficiency</w:t>
      </w:r>
      <w:r>
        <w:rPr>
          <w:rFonts w:ascii="Arial" w:hAnsi="Arial" w:cs="Arial"/>
          <w:color w:val="000000"/>
          <w:sz w:val="21"/>
          <w:szCs w:val="21"/>
          <w:lang w:val="en-US"/>
        </w:rPr>
        <w:t xml:space="preserve"> for the vehicles with different fuel types are considered. The </w:t>
      </w:r>
      <w:proofErr w:type="gramStart"/>
      <w:r>
        <w:rPr>
          <w:rFonts w:ascii="Arial" w:hAnsi="Arial" w:cs="Arial"/>
          <w:color w:val="000000"/>
          <w:sz w:val="21"/>
          <w:szCs w:val="21"/>
          <w:lang w:val="en-US"/>
        </w:rPr>
        <w:t>catalog of the commercially available cars are</w:t>
      </w:r>
      <w:proofErr w:type="gramEnd"/>
      <w:r>
        <w:rPr>
          <w:rFonts w:ascii="Arial" w:hAnsi="Arial" w:cs="Arial"/>
          <w:color w:val="000000"/>
          <w:sz w:val="21"/>
          <w:szCs w:val="21"/>
          <w:lang w:val="en-US"/>
        </w:rPr>
        <w:t xml:space="preserve"> used to retrieve the data for energy consumption. The analysis show that the average TTW for the full electric vehicle is the highest due to high efficiency of the energy conversion of the electric motor. However, the average TTW efficiency values should be considered with caution as a </w:t>
      </w:r>
      <w:r w:rsidRPr="0093035D">
        <w:rPr>
          <w:rFonts w:ascii="Arial" w:hAnsi="Arial" w:cs="Arial"/>
          <w:sz w:val="21"/>
          <w:szCs w:val="21"/>
          <w:lang w:val="en-US"/>
        </w:rPr>
        <w:t xml:space="preserve">Well </w:t>
      </w:r>
      <w:proofErr w:type="gramStart"/>
      <w:r w:rsidRPr="0093035D">
        <w:rPr>
          <w:rFonts w:ascii="Arial" w:hAnsi="Arial" w:cs="Arial"/>
          <w:sz w:val="21"/>
          <w:szCs w:val="21"/>
          <w:lang w:val="en-US"/>
        </w:rPr>
        <w:t>To</w:t>
      </w:r>
      <w:proofErr w:type="gramEnd"/>
      <w:r w:rsidRPr="0093035D">
        <w:rPr>
          <w:rFonts w:ascii="Arial" w:hAnsi="Arial" w:cs="Arial"/>
          <w:sz w:val="21"/>
          <w:szCs w:val="21"/>
          <w:lang w:val="en-US"/>
        </w:rPr>
        <w:t xml:space="preserve"> Tank</w:t>
      </w:r>
      <w:r w:rsidRPr="0093035D">
        <w:rPr>
          <w:rFonts w:ascii="Arial" w:hAnsi="Arial" w:cs="Arial"/>
          <w:color w:val="000000"/>
          <w:sz w:val="21"/>
          <w:szCs w:val="21"/>
          <w:lang w:val="en-US"/>
        </w:rPr>
        <w:t xml:space="preserve"> </w:t>
      </w:r>
      <w:r>
        <w:rPr>
          <w:rFonts w:ascii="Arial" w:hAnsi="Arial" w:cs="Arial"/>
          <w:color w:val="000000"/>
          <w:sz w:val="21"/>
          <w:szCs w:val="21"/>
          <w:lang w:val="en-US"/>
        </w:rPr>
        <w:t>(</w:t>
      </w:r>
      <w:r w:rsidRPr="0093035D">
        <w:rPr>
          <w:rFonts w:ascii="Arial" w:hAnsi="Arial" w:cs="Arial"/>
          <w:color w:val="000000"/>
          <w:sz w:val="21"/>
          <w:szCs w:val="21"/>
          <w:lang w:val="en-US"/>
        </w:rPr>
        <w:t>WTT</w:t>
      </w:r>
      <w:r>
        <w:rPr>
          <w:rFonts w:ascii="Arial" w:hAnsi="Arial" w:cs="Arial"/>
          <w:color w:val="000000"/>
          <w:sz w:val="21"/>
          <w:szCs w:val="21"/>
          <w:lang w:val="en-US"/>
        </w:rPr>
        <w:t>)</w:t>
      </w:r>
      <w:r w:rsidRPr="0093035D">
        <w:rPr>
          <w:rFonts w:ascii="Arial" w:hAnsi="Arial" w:cs="Arial"/>
          <w:color w:val="000000"/>
          <w:sz w:val="21"/>
          <w:szCs w:val="21"/>
          <w:lang w:val="en-US"/>
        </w:rPr>
        <w:t xml:space="preserve"> efficiency should also be taken </w:t>
      </w:r>
      <w:r>
        <w:rPr>
          <w:rFonts w:ascii="Arial" w:hAnsi="Arial" w:cs="Arial"/>
          <w:color w:val="000000"/>
          <w:sz w:val="21"/>
          <w:szCs w:val="21"/>
          <w:lang w:val="en-US"/>
        </w:rPr>
        <w:t>into account. Depending on the production origin of the fuel, WTT can</w:t>
      </w:r>
      <w:r w:rsidRPr="0093035D">
        <w:rPr>
          <w:rFonts w:ascii="Arial" w:hAnsi="Arial" w:cs="Arial"/>
          <w:color w:val="000000"/>
          <w:sz w:val="21"/>
          <w:szCs w:val="21"/>
          <w:lang w:val="en-US"/>
        </w:rPr>
        <w:t xml:space="preserve"> dif</w:t>
      </w:r>
      <w:r>
        <w:rPr>
          <w:rFonts w:ascii="Arial" w:hAnsi="Arial" w:cs="Arial"/>
          <w:color w:val="000000"/>
          <w:sz w:val="21"/>
          <w:szCs w:val="21"/>
          <w:lang w:val="en-US"/>
        </w:rPr>
        <w:t xml:space="preserve">fer from one country to another. </w:t>
      </w:r>
    </w:p>
    <w:p w:rsidR="00967FCD" w:rsidRDefault="00967FCD" w:rsidP="00967FCD">
      <w:pPr>
        <w:spacing w:after="0"/>
        <w:contextualSpacing/>
        <w:jc w:val="both"/>
        <w:rPr>
          <w:rFonts w:ascii="Arial" w:hAnsi="Arial" w:cs="Arial"/>
          <w:color w:val="000000"/>
          <w:sz w:val="21"/>
          <w:szCs w:val="21"/>
          <w:lang w:val="en-US"/>
        </w:rPr>
      </w:pPr>
    </w:p>
    <w:p w:rsidR="00967FCD" w:rsidRPr="0093035D" w:rsidRDefault="00967FCD" w:rsidP="00967FCD">
      <w:pPr>
        <w:spacing w:after="0"/>
        <w:contextualSpacing/>
        <w:jc w:val="both"/>
        <w:rPr>
          <w:rFonts w:ascii="Arial" w:hAnsi="Arial" w:cs="Arial"/>
          <w:color w:val="000000"/>
          <w:sz w:val="21"/>
          <w:szCs w:val="21"/>
          <w:lang w:val="en-US"/>
        </w:rPr>
      </w:pPr>
    </w:p>
    <w:p w:rsidR="00967FCD" w:rsidRPr="0093035D" w:rsidRDefault="00967FCD" w:rsidP="00967FCD">
      <w:pPr>
        <w:pStyle w:val="Default"/>
        <w:spacing w:line="276" w:lineRule="auto"/>
        <w:rPr>
          <w:rFonts w:ascii="Arial" w:hAnsi="Arial" w:cs="Arial"/>
          <w:b/>
          <w:sz w:val="21"/>
          <w:szCs w:val="21"/>
          <w:lang w:val="en-US"/>
        </w:rPr>
      </w:pPr>
      <w:r w:rsidRPr="0093035D">
        <w:rPr>
          <w:rFonts w:ascii="Arial" w:hAnsi="Arial" w:cs="Arial"/>
          <w:b/>
          <w:sz w:val="21"/>
          <w:szCs w:val="21"/>
          <w:lang w:val="en-US"/>
        </w:rPr>
        <w:t xml:space="preserve">References: </w:t>
      </w:r>
    </w:p>
    <w:p w:rsidR="00967FCD" w:rsidRPr="00537970" w:rsidRDefault="00967FCD" w:rsidP="00967FCD">
      <w:pPr>
        <w:pStyle w:val="Default"/>
        <w:numPr>
          <w:ilvl w:val="0"/>
          <w:numId w:val="1"/>
        </w:numPr>
        <w:jc w:val="both"/>
        <w:rPr>
          <w:rFonts w:ascii="Arial" w:hAnsi="Arial" w:cs="Arial"/>
          <w:sz w:val="21"/>
          <w:szCs w:val="21"/>
          <w:lang w:val="en-US"/>
        </w:rPr>
      </w:pPr>
      <w:proofErr w:type="spellStart"/>
      <w:r w:rsidRPr="00537970">
        <w:rPr>
          <w:rFonts w:ascii="Arial" w:hAnsi="Arial" w:cs="Arial"/>
          <w:sz w:val="21"/>
          <w:szCs w:val="21"/>
          <w:lang w:val="en-US"/>
        </w:rPr>
        <w:t>Leitfaden</w:t>
      </w:r>
      <w:proofErr w:type="spellEnd"/>
      <w:r w:rsidRPr="00537970">
        <w:rPr>
          <w:rFonts w:ascii="Arial" w:hAnsi="Arial" w:cs="Arial"/>
          <w:sz w:val="21"/>
          <w:szCs w:val="21"/>
          <w:lang w:val="en-US"/>
        </w:rPr>
        <w:t xml:space="preserve"> </w:t>
      </w:r>
      <w:proofErr w:type="spellStart"/>
      <w:r w:rsidRPr="00537970">
        <w:rPr>
          <w:rFonts w:ascii="Arial" w:hAnsi="Arial" w:cs="Arial"/>
          <w:bCs/>
          <w:sz w:val="21"/>
          <w:szCs w:val="21"/>
          <w:lang w:val="en-US"/>
        </w:rPr>
        <w:t>über</w:t>
      </w:r>
      <w:proofErr w:type="spellEnd"/>
      <w:r w:rsidRPr="00537970">
        <w:rPr>
          <w:rFonts w:ascii="Arial" w:hAnsi="Arial" w:cs="Arial"/>
          <w:bCs/>
          <w:sz w:val="21"/>
          <w:szCs w:val="21"/>
          <w:lang w:val="en-US"/>
        </w:rPr>
        <w:t xml:space="preserve"> den </w:t>
      </w:r>
      <w:proofErr w:type="spellStart"/>
      <w:r w:rsidRPr="00537970">
        <w:rPr>
          <w:rFonts w:ascii="Arial" w:hAnsi="Arial" w:cs="Arial"/>
          <w:bCs/>
          <w:sz w:val="21"/>
          <w:szCs w:val="21"/>
          <w:lang w:val="en-US"/>
        </w:rPr>
        <w:t>Kraftstoffverbrauch</w:t>
      </w:r>
      <w:proofErr w:type="spellEnd"/>
      <w:r w:rsidRPr="00537970">
        <w:rPr>
          <w:rFonts w:ascii="Arial" w:hAnsi="Arial" w:cs="Arial"/>
          <w:bCs/>
          <w:sz w:val="21"/>
          <w:szCs w:val="21"/>
          <w:lang w:val="en-US"/>
        </w:rPr>
        <w:t>,</w:t>
      </w:r>
      <w:r w:rsidRPr="00537970">
        <w:rPr>
          <w:rFonts w:ascii="Arial" w:hAnsi="Arial" w:cs="Arial"/>
          <w:sz w:val="21"/>
          <w:szCs w:val="21"/>
          <w:lang w:val="en-US"/>
        </w:rPr>
        <w:t xml:space="preserve"> </w:t>
      </w:r>
      <w:r w:rsidRPr="00537970">
        <w:rPr>
          <w:rFonts w:ascii="Arial" w:hAnsi="Arial" w:cs="Arial"/>
          <w:bCs/>
          <w:sz w:val="21"/>
          <w:szCs w:val="21"/>
          <w:lang w:val="en-US"/>
        </w:rPr>
        <w:t xml:space="preserve">die CO2-Emissionen und den </w:t>
      </w:r>
      <w:proofErr w:type="spellStart"/>
      <w:r w:rsidRPr="00537970">
        <w:rPr>
          <w:rFonts w:ascii="Arial" w:hAnsi="Arial" w:cs="Arial"/>
          <w:bCs/>
          <w:sz w:val="21"/>
          <w:szCs w:val="21"/>
          <w:lang w:val="en-US"/>
        </w:rPr>
        <w:t>Stromverbrauch</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aller</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neuen</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Personenkraftwagenmodelle</w:t>
      </w:r>
      <w:proofErr w:type="spellEnd"/>
      <w:r w:rsidRPr="00537970">
        <w:rPr>
          <w:rFonts w:ascii="Arial" w:hAnsi="Arial" w:cs="Arial"/>
          <w:sz w:val="21"/>
          <w:szCs w:val="21"/>
          <w:lang w:val="en-US"/>
        </w:rPr>
        <w:t xml:space="preserve">, die in Deutschland </w:t>
      </w:r>
      <w:proofErr w:type="spellStart"/>
      <w:r w:rsidRPr="00537970">
        <w:rPr>
          <w:rFonts w:ascii="Arial" w:hAnsi="Arial" w:cs="Arial"/>
          <w:sz w:val="21"/>
          <w:szCs w:val="21"/>
          <w:lang w:val="en-US"/>
        </w:rPr>
        <w:t>zum</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Verkauf</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angeboten</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werden</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Ausgabe</w:t>
      </w:r>
      <w:proofErr w:type="spellEnd"/>
      <w:r w:rsidRPr="00537970">
        <w:rPr>
          <w:rFonts w:ascii="Arial" w:hAnsi="Arial" w:cs="Arial"/>
          <w:sz w:val="21"/>
          <w:szCs w:val="21"/>
          <w:lang w:val="en-US"/>
        </w:rPr>
        <w:t xml:space="preserve"> 2019 (</w:t>
      </w:r>
      <w:hyperlink r:id="rId8" w:history="1">
        <w:r w:rsidRPr="00537970">
          <w:rPr>
            <w:rFonts w:ascii="Arial" w:hAnsi="Arial" w:cs="Arial"/>
            <w:sz w:val="21"/>
            <w:szCs w:val="21"/>
            <w:lang w:val="en-US"/>
          </w:rPr>
          <w:t>https://www.datgroup.com/leitfaden/LeitfadenCO2.pdf</w:t>
        </w:r>
      </w:hyperlink>
      <w:r w:rsidRPr="00537970">
        <w:rPr>
          <w:rFonts w:ascii="Arial" w:hAnsi="Arial" w:cs="Arial"/>
          <w:sz w:val="21"/>
          <w:szCs w:val="21"/>
          <w:lang w:val="en-US"/>
        </w:rPr>
        <w:t>)</w:t>
      </w:r>
    </w:p>
    <w:p w:rsidR="00967FCD" w:rsidRPr="00537970" w:rsidRDefault="00967FCD" w:rsidP="00967FCD">
      <w:pPr>
        <w:pStyle w:val="Default"/>
        <w:numPr>
          <w:ilvl w:val="0"/>
          <w:numId w:val="1"/>
        </w:numPr>
        <w:jc w:val="both"/>
        <w:rPr>
          <w:rFonts w:ascii="Arial" w:hAnsi="Arial" w:cs="Arial"/>
          <w:sz w:val="21"/>
          <w:szCs w:val="21"/>
          <w:lang w:val="en-US"/>
        </w:rPr>
      </w:pPr>
      <w:r w:rsidRPr="00537970">
        <w:rPr>
          <w:rFonts w:ascii="Arial" w:hAnsi="Arial" w:cs="Arial"/>
          <w:sz w:val="21"/>
          <w:szCs w:val="21"/>
          <w:lang w:val="en-US"/>
        </w:rPr>
        <w:t xml:space="preserve">Ole Kolb, Stefan </w:t>
      </w:r>
      <w:proofErr w:type="spellStart"/>
      <w:r w:rsidRPr="00537970">
        <w:rPr>
          <w:rFonts w:ascii="Arial" w:hAnsi="Arial" w:cs="Arial"/>
          <w:sz w:val="21"/>
          <w:szCs w:val="21"/>
          <w:lang w:val="en-US"/>
        </w:rPr>
        <w:t>Siegemund</w:t>
      </w:r>
      <w:proofErr w:type="spellEnd"/>
      <w:r w:rsidRPr="00537970">
        <w:rPr>
          <w:rFonts w:ascii="Arial" w:hAnsi="Arial" w:cs="Arial"/>
          <w:sz w:val="21"/>
          <w:szCs w:val="21"/>
          <w:lang w:val="en-US"/>
        </w:rPr>
        <w:t xml:space="preserve"> Study on the Implementation of Article 7(3) of the “Directive on the Deployment of Alternative Fuels Infrastructure” – Fuel Price Comparison January – 2017(</w:t>
      </w:r>
      <w:hyperlink r:id="rId9" w:history="1">
        <w:r w:rsidRPr="00537970">
          <w:rPr>
            <w:rFonts w:ascii="Arial" w:hAnsi="Arial" w:cs="Arial"/>
            <w:sz w:val="21"/>
            <w:szCs w:val="21"/>
            <w:lang w:val="en-US"/>
          </w:rPr>
          <w:t>https://ec.europa.eu/transport/sites/transport/files/2017-01-fuel-price-comparison.pdf</w:t>
        </w:r>
      </w:hyperlink>
      <w:r w:rsidRPr="00537970">
        <w:rPr>
          <w:rFonts w:ascii="Arial" w:hAnsi="Arial" w:cs="Arial"/>
          <w:sz w:val="21"/>
          <w:szCs w:val="21"/>
          <w:lang w:val="en-US"/>
        </w:rPr>
        <w:t>)</w:t>
      </w:r>
    </w:p>
    <w:p w:rsidR="00967FCD" w:rsidRPr="00537970" w:rsidRDefault="00967FCD" w:rsidP="00967FCD">
      <w:pPr>
        <w:pStyle w:val="Default"/>
        <w:numPr>
          <w:ilvl w:val="0"/>
          <w:numId w:val="1"/>
        </w:numPr>
        <w:jc w:val="both"/>
        <w:rPr>
          <w:rFonts w:ascii="Arial" w:hAnsi="Arial" w:cs="Arial"/>
          <w:sz w:val="21"/>
          <w:szCs w:val="21"/>
          <w:lang w:val="en-US"/>
        </w:rPr>
      </w:pPr>
      <w:proofErr w:type="spellStart"/>
      <w:r w:rsidRPr="00537970">
        <w:rPr>
          <w:rFonts w:ascii="Arial" w:hAnsi="Arial" w:cs="Arial"/>
          <w:sz w:val="21"/>
          <w:szCs w:val="21"/>
          <w:lang w:val="en-US"/>
        </w:rPr>
        <w:t>L.Guzella</w:t>
      </w:r>
      <w:proofErr w:type="spellEnd"/>
      <w:r w:rsidRPr="00537970">
        <w:rPr>
          <w:rFonts w:ascii="Arial" w:hAnsi="Arial" w:cs="Arial"/>
          <w:sz w:val="21"/>
          <w:szCs w:val="21"/>
          <w:lang w:val="en-US"/>
        </w:rPr>
        <w:t xml:space="preserve">, </w:t>
      </w:r>
      <w:proofErr w:type="spellStart"/>
      <w:r w:rsidRPr="00537970">
        <w:rPr>
          <w:rFonts w:ascii="Arial" w:hAnsi="Arial" w:cs="Arial"/>
          <w:sz w:val="21"/>
          <w:szCs w:val="21"/>
          <w:lang w:val="en-US"/>
        </w:rPr>
        <w:t>A.Amstutz</w:t>
      </w:r>
      <w:proofErr w:type="spellEnd"/>
      <w:r w:rsidRPr="00537970">
        <w:rPr>
          <w:rFonts w:ascii="Arial" w:hAnsi="Arial" w:cs="Arial"/>
          <w:sz w:val="21"/>
          <w:szCs w:val="21"/>
          <w:lang w:val="en-US"/>
        </w:rPr>
        <w:t xml:space="preserve"> The QSS Toolbox Manual June 2005 (</w:t>
      </w:r>
      <w:hyperlink r:id="rId10" w:history="1">
        <w:r w:rsidRPr="00537970">
          <w:rPr>
            <w:rFonts w:ascii="Arial" w:hAnsi="Arial" w:cs="Arial"/>
            <w:sz w:val="21"/>
            <w:szCs w:val="21"/>
            <w:lang w:val="en-US"/>
          </w:rPr>
          <w:t>https://vdocuments.mx/qss-tb-manual.html</w:t>
        </w:r>
      </w:hyperlink>
      <w:r w:rsidRPr="00537970">
        <w:rPr>
          <w:rFonts w:ascii="Arial" w:hAnsi="Arial" w:cs="Arial"/>
          <w:sz w:val="21"/>
          <w:szCs w:val="21"/>
          <w:lang w:val="en-US"/>
        </w:rPr>
        <w:t>)</w:t>
      </w:r>
    </w:p>
    <w:p w:rsidR="00967FCD" w:rsidRPr="00537970" w:rsidRDefault="00967FCD" w:rsidP="00967FCD">
      <w:pPr>
        <w:pStyle w:val="Default"/>
        <w:numPr>
          <w:ilvl w:val="0"/>
          <w:numId w:val="1"/>
        </w:numPr>
        <w:jc w:val="both"/>
        <w:rPr>
          <w:rFonts w:ascii="Arial" w:hAnsi="Arial" w:cs="Arial"/>
          <w:sz w:val="21"/>
          <w:szCs w:val="21"/>
          <w:lang w:val="en-US"/>
        </w:rPr>
      </w:pPr>
      <w:proofErr w:type="spellStart"/>
      <w:r w:rsidRPr="00537970">
        <w:rPr>
          <w:rFonts w:ascii="Arial" w:hAnsi="Arial" w:cs="Arial"/>
          <w:sz w:val="21"/>
          <w:szCs w:val="21"/>
          <w:lang w:val="en-US"/>
        </w:rPr>
        <w:t>Onori</w:t>
      </w:r>
      <w:proofErr w:type="spellEnd"/>
      <w:r w:rsidRPr="00537970">
        <w:rPr>
          <w:rFonts w:ascii="Arial" w:hAnsi="Arial" w:cs="Arial"/>
          <w:sz w:val="21"/>
          <w:szCs w:val="21"/>
          <w:lang w:val="en-US"/>
        </w:rPr>
        <w:t xml:space="preserve">, S., </w:t>
      </w:r>
      <w:proofErr w:type="spellStart"/>
      <w:r w:rsidRPr="00537970">
        <w:rPr>
          <w:rFonts w:ascii="Arial" w:hAnsi="Arial" w:cs="Arial"/>
          <w:sz w:val="21"/>
          <w:szCs w:val="21"/>
          <w:lang w:val="en-US"/>
        </w:rPr>
        <w:t>Serrao</w:t>
      </w:r>
      <w:proofErr w:type="spellEnd"/>
      <w:r w:rsidRPr="00537970">
        <w:rPr>
          <w:rFonts w:ascii="Arial" w:hAnsi="Arial" w:cs="Arial"/>
          <w:sz w:val="21"/>
          <w:szCs w:val="21"/>
          <w:lang w:val="en-US"/>
        </w:rPr>
        <w:t xml:space="preserve">, L., &amp; </w:t>
      </w:r>
      <w:proofErr w:type="spellStart"/>
      <w:r w:rsidRPr="00537970">
        <w:rPr>
          <w:rFonts w:ascii="Arial" w:hAnsi="Arial" w:cs="Arial"/>
          <w:sz w:val="21"/>
          <w:szCs w:val="21"/>
          <w:lang w:val="en-US"/>
        </w:rPr>
        <w:t>Rizzoni</w:t>
      </w:r>
      <w:proofErr w:type="spellEnd"/>
      <w:r w:rsidRPr="00537970">
        <w:rPr>
          <w:rFonts w:ascii="Arial" w:hAnsi="Arial" w:cs="Arial"/>
          <w:sz w:val="21"/>
          <w:szCs w:val="21"/>
          <w:lang w:val="en-US"/>
        </w:rPr>
        <w:t>, G. (2016). Hybrid electric vehicles: Energy management strategies (pp. 25-28). London: Springer.</w:t>
      </w:r>
    </w:p>
    <w:p w:rsidR="00967FCD" w:rsidRPr="00537970" w:rsidRDefault="00967FCD" w:rsidP="00967FCD">
      <w:pPr>
        <w:pStyle w:val="Default"/>
        <w:numPr>
          <w:ilvl w:val="0"/>
          <w:numId w:val="1"/>
        </w:numPr>
        <w:jc w:val="both"/>
        <w:rPr>
          <w:rFonts w:ascii="Arial" w:hAnsi="Arial" w:cs="Arial"/>
          <w:sz w:val="21"/>
          <w:szCs w:val="21"/>
          <w:lang w:val="en-US"/>
        </w:rPr>
      </w:pPr>
      <w:proofErr w:type="spellStart"/>
      <w:r w:rsidRPr="00537970">
        <w:rPr>
          <w:rFonts w:ascii="Arial" w:hAnsi="Arial" w:cs="Arial"/>
          <w:sz w:val="21"/>
          <w:szCs w:val="21"/>
          <w:lang w:val="en-US"/>
        </w:rPr>
        <w:t>Genta</w:t>
      </w:r>
      <w:proofErr w:type="spellEnd"/>
      <w:r w:rsidRPr="00537970">
        <w:rPr>
          <w:rFonts w:ascii="Arial" w:hAnsi="Arial" w:cs="Arial"/>
          <w:sz w:val="21"/>
          <w:szCs w:val="21"/>
          <w:lang w:val="en-US"/>
        </w:rPr>
        <w:t>, G., &amp; Morello, L. (2019). The automotive chassis: volume 2: system design. Springer Nature.</w:t>
      </w:r>
    </w:p>
    <w:p w:rsidR="00967FCD" w:rsidRPr="00967FCD" w:rsidRDefault="00967FCD" w:rsidP="00967FCD">
      <w:pPr>
        <w:rPr>
          <w:rFonts w:ascii="Times New Roman" w:hAnsi="Times New Roman" w:cs="Times New Roman"/>
          <w:sz w:val="32"/>
          <w:lang w:val="en-US"/>
        </w:rPr>
      </w:pPr>
    </w:p>
    <w:sectPr w:rsidR="00967FCD" w:rsidRPr="00967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F26"/>
    <w:multiLevelType w:val="hybridMultilevel"/>
    <w:tmpl w:val="C9B0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CD"/>
    <w:rsid w:val="005C4DA1"/>
    <w:rsid w:val="00967FCD"/>
    <w:rsid w:val="00DD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7FCD"/>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a3">
    <w:name w:val="Balloon Text"/>
    <w:basedOn w:val="a"/>
    <w:link w:val="a4"/>
    <w:uiPriority w:val="99"/>
    <w:semiHidden/>
    <w:unhideWhenUsed/>
    <w:rsid w:val="005C4D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7FCD"/>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a3">
    <w:name w:val="Balloon Text"/>
    <w:basedOn w:val="a"/>
    <w:link w:val="a4"/>
    <w:uiPriority w:val="99"/>
    <w:semiHidden/>
    <w:unhideWhenUsed/>
    <w:rsid w:val="005C4D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group.com/leitfaden/LeitfadenCO2.pd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documents.mx/qss-tb-manual.html" TargetMode="External"/><Relationship Id="rId4" Type="http://schemas.openxmlformats.org/officeDocument/2006/relationships/settings" Target="settings.xml"/><Relationship Id="rId9" Type="http://schemas.openxmlformats.org/officeDocument/2006/relationships/hyperlink" Target="https://ec.europa.eu/transport/sites/transport/files/2017-01-fuel-price-comparis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dc:creator>
  <cp:lastModifiedBy>Lenovo_320</cp:lastModifiedBy>
  <cp:revision>2</cp:revision>
  <dcterms:created xsi:type="dcterms:W3CDTF">2021-03-08T07:59:00Z</dcterms:created>
  <dcterms:modified xsi:type="dcterms:W3CDTF">2021-03-08T07:59:00Z</dcterms:modified>
</cp:coreProperties>
</file>